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F385B" w:rsidRPr="002E3DF9" w:rsidRDefault="004F385B" w:rsidP="004F385B">
      <w:pPr>
        <w:spacing w:after="0"/>
        <w:jc w:val="right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b/>
          <w:bCs/>
          <w:noProof/>
          <w:color w:val="000000"/>
          <w:sz w:val="22"/>
          <w:szCs w:val="4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-3175</wp:posOffset>
            </wp:positionV>
            <wp:extent cx="2552065" cy="925195"/>
            <wp:effectExtent l="25400" t="0" r="0" b="0"/>
            <wp:wrapSquare wrapText="bothSides"/>
            <wp:docPr id="1" name="Picture 0" descr="jobst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stre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Calum Murray</w:t>
      </w:r>
      <w:r w:rsidR="002457D4">
        <w:rPr>
          <w:rFonts w:ascii="Calibri" w:hAnsi="Calibri" w:cs="Times New Roman"/>
          <w:color w:val="000000"/>
          <w:szCs w:val="21"/>
          <w:lang w:val="en-GB"/>
        </w:rPr>
        <w:t xml:space="preserve"> 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server logic, database.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Euan Morrison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source feed collection.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Paul Cannings</w:t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="001C157F" w:rsidRP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diary and appointment systems.</w:t>
      </w:r>
    </w:p>
    <w:p w:rsidR="004F385B" w:rsidRPr="002457D4" w:rsidRDefault="004F385B" w:rsidP="002E3DF9">
      <w:pPr>
        <w:spacing w:after="0"/>
        <w:ind w:left="40"/>
        <w:textAlignment w:val="baseline"/>
        <w:rPr>
          <w:rFonts w:ascii="Calibri" w:hAnsi="Calibri" w:cs="Times New Roman"/>
          <w:color w:val="000000"/>
          <w:szCs w:val="21"/>
          <w:lang w:val="en-GB"/>
        </w:rPr>
      </w:pPr>
      <w:r w:rsidRPr="002457D4">
        <w:rPr>
          <w:rFonts w:ascii="Calibri" w:hAnsi="Calibri" w:cs="Times New Roman"/>
          <w:b/>
          <w:bCs/>
          <w:color w:val="000000"/>
          <w:szCs w:val="21"/>
          <w:lang w:val="en-GB"/>
        </w:rPr>
        <w:t>Yolina Kostova</w:t>
      </w:r>
      <w:r w:rsidR="002457D4">
        <w:rPr>
          <w:rFonts w:ascii="Calibri" w:hAnsi="Calibri" w:cs="Times New Roman"/>
          <w:color w:val="000000"/>
          <w:szCs w:val="21"/>
          <w:lang w:val="en-GB"/>
        </w:rPr>
        <w:tab/>
      </w:r>
      <w:r w:rsidRPr="002457D4">
        <w:rPr>
          <w:rFonts w:ascii="Calibri" w:hAnsi="Calibri" w:cs="Times New Roman"/>
          <w:color w:val="000000"/>
          <w:szCs w:val="21"/>
          <w:lang w:val="en-GB"/>
        </w:rPr>
        <w:t>application interface and logic.</w:t>
      </w:r>
    </w:p>
    <w:p w:rsidR="004F385B" w:rsidRPr="002E3DF9" w:rsidRDefault="004F385B" w:rsidP="001C157F">
      <w:pPr>
        <w:spacing w:after="0"/>
        <w:textAlignment w:val="baseline"/>
        <w:rPr>
          <w:rFonts w:ascii="Calibri" w:hAnsi="Calibri" w:cs="Times New Roman"/>
          <w:color w:val="000000"/>
          <w:sz w:val="22"/>
          <w:szCs w:val="21"/>
          <w:lang w:val="en-GB"/>
        </w:rPr>
      </w:pPr>
    </w:p>
    <w:p w:rsidR="004F385B" w:rsidRPr="002E3DF9" w:rsidRDefault="004F385B" w:rsidP="001C157F">
      <w:pPr>
        <w:spacing w:after="0"/>
        <w:jc w:val="center"/>
        <w:rPr>
          <w:rFonts w:ascii="Calibri" w:hAnsi="Calibri"/>
          <w:sz w:val="22"/>
          <w:szCs w:val="20"/>
          <w:lang w:val="en-GB"/>
        </w:rPr>
      </w:pP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1917" cy="2952000"/>
            <wp:effectExtent l="50800" t="25400" r="14483" b="19800"/>
            <wp:docPr id="5" name="Picture 3" descr="::Documents:workspace:DWP:APP Screenshots:Screenshot_2013-09-26-16-2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ocuments:workspace:DWP:APP Screenshots:Screenshot_2013-09-26-16-20-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1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2127" cy="2952000"/>
            <wp:effectExtent l="50800" t="25400" r="14273" b="19800"/>
            <wp:docPr id="2" name="Picture 1" descr="::Documents:workspace:DWP:APP Screenshots:Screenshot_2013-09-26-16-20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ocuments:workspace:DWP:APP Screenshots:Screenshot_2013-09-26-16-20-3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127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60175" cy="2952000"/>
            <wp:effectExtent l="50800" t="25400" r="16225" b="19800"/>
            <wp:docPr id="7" name="Picture 4" descr="::Documents:workspace:DWP:APP Screenshots:Screenshot_2013-09-26-16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ocuments:workspace:DWP:APP Screenshots:Screenshot_2013-09-26-16-21-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75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157F">
        <w:rPr>
          <w:rFonts w:ascii="Calibri" w:hAnsi="Calibri"/>
          <w:sz w:val="22"/>
          <w:szCs w:val="20"/>
          <w:lang w:val="en-GB"/>
        </w:rPr>
        <w:t xml:space="preserve">   </w:t>
      </w:r>
      <w:r w:rsidRPr="002E3DF9">
        <w:rPr>
          <w:rFonts w:ascii="Calibri" w:hAnsi="Calibri"/>
          <w:noProof/>
          <w:sz w:val="22"/>
          <w:szCs w:val="20"/>
        </w:rPr>
        <w:drawing>
          <wp:inline distT="0" distB="0" distL="0" distR="0">
            <wp:extent cx="1659524" cy="2952000"/>
            <wp:effectExtent l="50800" t="25400" r="16876" b="19800"/>
            <wp:docPr id="8" name="Picture 5" descr="::Documents:workspace:DWP:APP Screenshots:Screenshot_2013-09-26-16-2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ocuments:workspace:DWP:APP Screenshots:Screenshot_2013-09-26-16-2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24" cy="295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5B" w:rsidRPr="002E3DF9" w:rsidRDefault="004F385B" w:rsidP="004F385B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Problem Statement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Dundee Jobcentre Plus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the Department for Work &amp; Pensions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approached the University of Dundee to produce a cross-platform mobile phone application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which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will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aggregate local job listings fro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m social media sources.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 This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system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should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find and display vacancy listings from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the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various companies who only post jobs on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social media sites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, rather than traditional job listing sites.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 Creation and 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>deployment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of this app would demonstrate that the DWP are moving forward with emergent technologies. 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b/>
          <w:color w:val="000000"/>
          <w:sz w:val="22"/>
          <w:szCs w:val="20"/>
          <w:lang w:val="en-GB"/>
        </w:rPr>
      </w:pPr>
    </w:p>
    <w:p w:rsidR="004F385B" w:rsidRPr="002457D4" w:rsidRDefault="004F385B" w:rsidP="004F385B">
      <w:pPr>
        <w:spacing w:after="0"/>
        <w:rPr>
          <w:rFonts w:ascii="Calibri" w:hAnsi="Calibri" w:cs="Times New Roman"/>
          <w:b/>
          <w:color w:val="000000"/>
          <w:szCs w:val="20"/>
          <w:lang w:val="en-GB"/>
        </w:rPr>
      </w:pPr>
      <w:r w:rsidRPr="002457D4">
        <w:rPr>
          <w:rFonts w:ascii="Calibri" w:hAnsi="Calibri" w:cs="Times New Roman"/>
          <w:b/>
          <w:color w:val="000000"/>
          <w:szCs w:val="20"/>
          <w:lang w:val="en-GB"/>
        </w:rPr>
        <w:t>Proposed Solution</w:t>
      </w:r>
      <w:r w:rsidR="001C157F" w:rsidRPr="002457D4">
        <w:rPr>
          <w:rFonts w:ascii="Calibri" w:hAnsi="Calibri" w:cs="Times New Roman"/>
          <w:b/>
          <w:color w:val="000000"/>
          <w:szCs w:val="20"/>
          <w:lang w:val="en-GB"/>
        </w:rPr>
        <w:t>:</w:t>
      </w: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Our proposed so</w:t>
      </w:r>
      <w:r w:rsidR="001C157F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lution is a native Android app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entitled </w:t>
      </w:r>
      <w:r w:rsidRPr="001C157F">
        <w:rPr>
          <w:rFonts w:ascii="Calibri" w:hAnsi="Calibri" w:cs="Times New Roman"/>
          <w:b/>
          <w:i/>
          <w:iCs/>
          <w:color w:val="000000"/>
          <w:sz w:val="22"/>
          <w:szCs w:val="20"/>
          <w:lang w:val="en-GB"/>
        </w:rPr>
        <w:t>JobStream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, which will facilitate searching for vacancies on traditional websites and social media websites, as well as automatically logging users’ job seeking efforts.</w:t>
      </w:r>
    </w:p>
    <w:p w:rsidR="00891B35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Search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feature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allows finding vacancies using a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combination of 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>user-defined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title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="004F385B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location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filters. Our sources currently include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Twitter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Facebook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Indeed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Guardian Jobs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and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S1Jobs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,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with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 results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being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separated in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to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two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different sections: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Job Sites</w:t>
      </w:r>
      <w:r w:rsidR="004F385B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 and </w:t>
      </w:r>
      <w:r w:rsidR="004F385B"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Social Media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results.</w:t>
      </w:r>
      <w:r w:rsidR="00891B35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These sections can be easily toggled between.</w:t>
      </w:r>
    </w:p>
    <w:p w:rsidR="002E3DF9" w:rsidRPr="002E3DF9" w:rsidRDefault="002E3DF9" w:rsidP="001C157F">
      <w:p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</w:p>
    <w:p w:rsidR="002E3DF9" w:rsidRPr="002E3DF9" w:rsidRDefault="004F385B" w:rsidP="001C157F">
      <w:pPr>
        <w:spacing w:after="0"/>
        <w:jc w:val="both"/>
        <w:rPr>
          <w:rFonts w:ascii="Calibri" w:hAnsi="Calibri" w:cs="Times New Roman"/>
          <w:sz w:val="22"/>
          <w:szCs w:val="20"/>
          <w:lang w:val="en-GB"/>
        </w:rPr>
      </w:pP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 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Diary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aims to show the user’s activity log in a readable 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format for their advisor. 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There is a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Summary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section to offer valuable information immediately available at a glance, followed by a more detailed table of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Activity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/</w:t>
      </w:r>
      <w:r w:rsidR="002E3DF9"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 xml:space="preserve"> </w:t>
      </w:r>
      <w:r w:rsidRPr="002E3DF9">
        <w:rPr>
          <w:rFonts w:ascii="Calibri" w:hAnsi="Calibri" w:cs="Times New Roman"/>
          <w:i/>
          <w:iCs/>
          <w:color w:val="000000"/>
          <w:sz w:val="22"/>
          <w:szCs w:val="20"/>
          <w:lang w:val="en-GB"/>
        </w:rPr>
        <w:t>History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, modelled after the “</w:t>
      </w:r>
      <w:r w:rsidRPr="002E3DF9">
        <w:rPr>
          <w:rFonts w:ascii="Calibri" w:hAnsi="Calibri" w:cs="Times New Roman"/>
          <w:i/>
          <w:color w:val="000000"/>
          <w:sz w:val="22"/>
          <w:szCs w:val="20"/>
          <w:lang w:val="en-GB"/>
        </w:rPr>
        <w:t>Looking for Work</w:t>
      </w:r>
      <w:r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” sheet currently used by individuals claiming Jobseek</w:t>
      </w:r>
      <w:r w:rsidR="002E3DF9" w:rsidRPr="002E3DF9">
        <w:rPr>
          <w:rFonts w:ascii="Calibri" w:hAnsi="Calibri" w:cs="Times New Roman"/>
          <w:color w:val="000000"/>
          <w:sz w:val="22"/>
          <w:szCs w:val="20"/>
          <w:lang w:val="en-GB"/>
        </w:rPr>
        <w:t>er’s Allowance.</w:t>
      </w:r>
    </w:p>
    <w:p w:rsidR="002E3DF9" w:rsidRPr="002E3DF9" w:rsidRDefault="002E3DF9" w:rsidP="004F385B">
      <w:pPr>
        <w:spacing w:after="0"/>
        <w:rPr>
          <w:rFonts w:ascii="Calibri" w:hAnsi="Calibri" w:cs="Times New Roman"/>
          <w:sz w:val="22"/>
          <w:szCs w:val="20"/>
          <w:lang w:val="en-GB"/>
        </w:rPr>
      </w:pPr>
    </w:p>
    <w:p w:rsidR="004F385B" w:rsidRPr="002457D4" w:rsidRDefault="002E3DF9" w:rsidP="004F385B">
      <w:pPr>
        <w:spacing w:after="0"/>
        <w:rPr>
          <w:rFonts w:ascii="Calibri" w:hAnsi="Calibri" w:cs="Times New Roman"/>
          <w:b/>
          <w:szCs w:val="20"/>
          <w:lang w:val="en-GB"/>
        </w:rPr>
      </w:pPr>
      <w:r w:rsidRPr="002457D4">
        <w:rPr>
          <w:rFonts w:ascii="Calibri" w:hAnsi="Calibri" w:cs="Times New Roman"/>
          <w:b/>
          <w:szCs w:val="20"/>
          <w:lang w:val="en-GB"/>
        </w:rPr>
        <w:t>Benefits</w:t>
      </w:r>
      <w:r w:rsidR="001C157F" w:rsidRPr="002457D4">
        <w:rPr>
          <w:rFonts w:ascii="Calibri" w:hAnsi="Calibri" w:cs="Times New Roman"/>
          <w:b/>
          <w:szCs w:val="20"/>
          <w:lang w:val="en-GB"/>
        </w:rPr>
        <w:t>:</w:t>
      </w:r>
    </w:p>
    <w:p w:rsidR="0025745A" w:rsidRPr="0025745A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Automated collection and aggregation of vacancy search results.</w:t>
      </w:r>
    </w:p>
    <w:p w:rsidR="002457D4" w:rsidRDefault="0025745A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>Ability for users to save individual search results as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notable,</w:t>
      </w:r>
      <w:r w:rsidRP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 or to be applied for later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.</w:t>
      </w:r>
    </w:p>
    <w:p w:rsidR="002457D4" w:rsidRDefault="002457D4" w:rsidP="002457D4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Through </w:t>
      </w:r>
      <w:r w:rsidR="0025745A">
        <w:rPr>
          <w:rFonts w:ascii="Calibri" w:hAnsi="Calibri" w:cs="Times New Roman"/>
          <w:color w:val="000000"/>
          <w:sz w:val="22"/>
          <w:szCs w:val="20"/>
          <w:lang w:val="en-GB"/>
        </w:rPr>
        <w:t xml:space="preserve">Jobseeker’s Allowance claimants </w:t>
      </w:r>
      <w:r>
        <w:rPr>
          <w:rFonts w:ascii="Calibri" w:hAnsi="Calibri" w:cs="Times New Roman"/>
          <w:color w:val="000000"/>
          <w:sz w:val="22"/>
          <w:szCs w:val="20"/>
          <w:lang w:val="en-GB"/>
        </w:rPr>
        <w:t>having activity logged automatically: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No longer necessary for claimants to fill in paper-based “Looking for Work” forms.</w:t>
      </w:r>
    </w:p>
    <w:p w:rsidR="002457D4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Advisors are presented with a concise activity summary as well as a detailed breakdown.</w:t>
      </w:r>
    </w:p>
    <w:p w:rsidR="0025745A" w:rsidRPr="0025745A" w:rsidRDefault="002457D4" w:rsidP="002457D4">
      <w:pPr>
        <w:pStyle w:val="ListParagraph"/>
        <w:numPr>
          <w:ilvl w:val="1"/>
          <w:numId w:val="12"/>
        </w:numPr>
        <w:spacing w:after="0"/>
        <w:jc w:val="both"/>
        <w:rPr>
          <w:rFonts w:ascii="Calibri" w:hAnsi="Calibri" w:cs="Times New Roman"/>
          <w:color w:val="000000"/>
          <w:sz w:val="22"/>
          <w:szCs w:val="20"/>
          <w:lang w:val="en-GB"/>
        </w:rPr>
      </w:pPr>
      <w:r>
        <w:rPr>
          <w:rFonts w:ascii="Calibri" w:hAnsi="Calibri" w:cs="Times New Roman"/>
          <w:color w:val="000000"/>
          <w:sz w:val="22"/>
          <w:szCs w:val="20"/>
          <w:lang w:val="en-GB"/>
        </w:rPr>
        <w:t>Improves accountability by presenting advisors with unbiased evidence.</w:t>
      </w:r>
    </w:p>
    <w:p w:rsidR="002E3DF9" w:rsidRPr="002E3DF9" w:rsidRDefault="002E3DF9" w:rsidP="002E3DF9">
      <w:pPr>
        <w:spacing w:after="0"/>
        <w:rPr>
          <w:rFonts w:ascii="Calibri" w:hAnsi="Calibri"/>
          <w:sz w:val="22"/>
          <w:szCs w:val="20"/>
          <w:lang w:val="en-GB"/>
        </w:rPr>
      </w:pPr>
    </w:p>
    <w:p w:rsidR="002E3DF9" w:rsidRPr="002457D4" w:rsidRDefault="002E3DF9" w:rsidP="004F385B">
      <w:pPr>
        <w:spacing w:after="0"/>
        <w:rPr>
          <w:rFonts w:ascii="Calibri" w:hAnsi="Calibri"/>
          <w:b/>
          <w:szCs w:val="20"/>
          <w:lang w:val="en-GB"/>
        </w:rPr>
      </w:pPr>
      <w:r w:rsidRPr="002457D4">
        <w:rPr>
          <w:rFonts w:ascii="Calibri" w:hAnsi="Calibri"/>
          <w:b/>
          <w:szCs w:val="20"/>
          <w:lang w:val="en-GB"/>
        </w:rPr>
        <w:t>Legal</w:t>
      </w:r>
      <w:r w:rsidR="001C157F" w:rsidRPr="002457D4">
        <w:rPr>
          <w:rFonts w:ascii="Calibri" w:hAnsi="Calibri"/>
          <w:b/>
          <w:szCs w:val="20"/>
          <w:lang w:val="en-GB"/>
        </w:rPr>
        <w:t>:</w:t>
      </w:r>
    </w:p>
    <w:p w:rsidR="004F385B" w:rsidRPr="002E3DF9" w:rsidRDefault="002457D4" w:rsidP="001C157F">
      <w:pPr>
        <w:jc w:val="both"/>
        <w:rPr>
          <w:rFonts w:ascii="Calibri" w:hAnsi="Calibri"/>
          <w:sz w:val="22"/>
          <w:szCs w:val="20"/>
          <w:lang w:val="en-GB"/>
        </w:rPr>
      </w:pPr>
      <w:r>
        <w:rPr>
          <w:rFonts w:ascii="Calibri" w:hAnsi="Calibri"/>
          <w:color w:val="000000"/>
          <w:sz w:val="22"/>
          <w:szCs w:val="20"/>
          <w:lang w:val="en-GB"/>
        </w:rPr>
        <w:t xml:space="preserve">With each job source, different conditions of use are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stated in their Terms of Service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>. In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 xml:space="preserve"> each of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the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sources we have implemented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, a direct method of acquiring results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is permitted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within a certain request limit or under a particular conditions. </w:t>
      </w:r>
      <w:r w:rsidR="00F8185C">
        <w:rPr>
          <w:rFonts w:ascii="Calibri" w:hAnsi="Calibri"/>
          <w:color w:val="000000"/>
          <w:sz w:val="22"/>
          <w:szCs w:val="20"/>
          <w:lang w:val="en-GB"/>
        </w:rPr>
        <w:t>Before release and distribution of the app,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results provider </w:t>
      </w:r>
      <w:r w:rsidR="0073601D">
        <w:rPr>
          <w:rFonts w:ascii="Calibri" w:hAnsi="Calibri"/>
          <w:color w:val="000000"/>
          <w:sz w:val="22"/>
          <w:szCs w:val="20"/>
          <w:lang w:val="en-GB"/>
        </w:rPr>
        <w:t>should be</w:t>
      </w:r>
      <w:r w:rsidR="002E3DF9" w:rsidRPr="002E3DF9">
        <w:rPr>
          <w:rFonts w:ascii="Calibri" w:hAnsi="Calibri"/>
          <w:color w:val="000000"/>
          <w:sz w:val="22"/>
          <w:szCs w:val="20"/>
          <w:lang w:val="en-GB"/>
        </w:rPr>
        <w:t xml:space="preserve"> contacted separately to establish a working relationship with them.</w:t>
      </w:r>
    </w:p>
    <w:sectPr w:rsidR="004F385B" w:rsidRPr="002E3DF9" w:rsidSect="004F385B">
      <w:pgSz w:w="11900" w:h="16840"/>
      <w:pgMar w:top="284" w:right="284" w:bottom="851" w:left="284" w:header="28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FE7E3D"/>
    <w:multiLevelType w:val="multilevel"/>
    <w:tmpl w:val="90E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50D16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F00A1B"/>
    <w:multiLevelType w:val="multilevel"/>
    <w:tmpl w:val="959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F084F"/>
    <w:multiLevelType w:val="multilevel"/>
    <w:tmpl w:val="F72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B6EA4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4F5E6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002CC2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7262F8"/>
    <w:multiLevelType w:val="hybridMultilevel"/>
    <w:tmpl w:val="DE82D8B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8E3FC7"/>
    <w:multiLevelType w:val="multilevel"/>
    <w:tmpl w:val="0FA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A30EA"/>
    <w:multiLevelType w:val="hybridMultilevel"/>
    <w:tmpl w:val="798A08B0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73A95B98"/>
    <w:multiLevelType w:val="multilevel"/>
    <w:tmpl w:val="3BA8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623F5C"/>
    <w:multiLevelType w:val="hybridMultilevel"/>
    <w:tmpl w:val="DE82D8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E24"/>
    <w:rsid w:val="001C157F"/>
    <w:rsid w:val="002457D4"/>
    <w:rsid w:val="00256F4F"/>
    <w:rsid w:val="0025745A"/>
    <w:rsid w:val="002E3DF9"/>
    <w:rsid w:val="004F385B"/>
    <w:rsid w:val="0073601D"/>
    <w:rsid w:val="00891B35"/>
    <w:rsid w:val="00F8185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F4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F4F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rsid w:val="004F385B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4F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422</Words>
  <Characters>2407</Characters>
  <Application>Microsoft Word 12.0.0</Application>
  <DocSecurity>0</DocSecurity>
  <Lines>20</Lines>
  <Paragraphs>4</Paragraphs>
  <ScaleCrop>false</ScaleCrop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Morrison</dc:creator>
  <cp:keywords/>
  <cp:lastModifiedBy>Euan Morrison</cp:lastModifiedBy>
  <cp:revision>3</cp:revision>
  <dcterms:created xsi:type="dcterms:W3CDTF">2013-09-26T16:23:00Z</dcterms:created>
  <dcterms:modified xsi:type="dcterms:W3CDTF">2013-09-26T16:58:00Z</dcterms:modified>
</cp:coreProperties>
</file>