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d995b9e662bf94af60459650ffbc927544ed892"/>
    <w:p>
      <w:pPr>
        <w:pStyle w:val="Heading1"/>
      </w:pPr>
      <w:r>
        <w:t xml:space="preserve">ADR-001 — Energy as the Primary Claim Substrate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Accepted</w:t>
      </w:r>
    </w:p>
    <w:bookmarkEnd w:id="20"/>
    <w:bookmarkStart w:id="21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2026-02-06</w:t>
      </w:r>
    </w:p>
    <w:bookmarkEnd w:id="21"/>
    <w:bookmarkStart w:id="22" w:name="authors"/>
    <w:p>
      <w:pPr>
        <w:pStyle w:val="Heading2"/>
      </w:pPr>
      <w:r>
        <w:t xml:space="preserve">Authors</w:t>
      </w:r>
    </w:p>
    <w:p>
      <w:pPr>
        <w:pStyle w:val="Compact"/>
        <w:numPr>
          <w:ilvl w:val="0"/>
          <w:numId w:val="1001"/>
        </w:numPr>
      </w:pPr>
      <w:r>
        <w:t xml:space="preserve">e-Spark Product &amp; Architecture Team</w:t>
      </w:r>
    </w:p>
    <w:p>
      <w:r>
        <w:pict>
          <v:rect style="width:0;height:1.5pt" o:hralign="center" o:hrstd="t" o:hr="t"/>
        </w:pict>
      </w:r>
    </w:p>
    <w:bookmarkEnd w:id="22"/>
    <w:bookmarkStart w:id="23" w:name="context"/>
    <w:p>
      <w:pPr>
        <w:pStyle w:val="Heading2"/>
      </w:pPr>
      <w:r>
        <w:t xml:space="preserve">1. Context</w:t>
      </w:r>
    </w:p>
    <w:p>
      <w:pPr>
        <w:pStyle w:val="FirstParagraph"/>
      </w:pPr>
      <w:r>
        <w:t xml:space="preserve">All regulatory and market-based claims relevant to e-Performance (REDIII, RTFO, Guarantees of Origin, and future carbon credit methodologies) ultimately depend on</w:t>
      </w:r>
      <w:r>
        <w:t xml:space="preserve"> </w:t>
      </w:r>
      <w:r>
        <w:rPr>
          <w:b/>
          <w:bCs/>
        </w:rPr>
        <w:t xml:space="preserve">energy delivered or consumed</w:t>
      </w:r>
      <w:r>
        <w:t xml:space="preserve"> </w:t>
      </w:r>
      <w:r>
        <w:t xml:space="preserve">over time.</w:t>
      </w:r>
    </w:p>
    <w:p>
      <w:pPr>
        <w:pStyle w:val="BodyText"/>
      </w:pPr>
      <w:r>
        <w:t xml:space="preserve">While some regimes express outcomes in CO₂-equivalent terms (e.g. voluntary carbon markets), others are explicitly</w:t>
      </w:r>
      <w:r>
        <w:t xml:space="preserve"> </w:t>
      </w:r>
      <w:r>
        <w:rPr>
          <w:b/>
          <w:bCs/>
        </w:rPr>
        <w:t xml:space="preserve">energy-based</w:t>
      </w:r>
      <w:r>
        <w:t xml:space="preserve"> </w:t>
      </w:r>
      <w:r>
        <w:t xml:space="preserve">(e.g. REDIII / RTFO, GO schemes). Mixing these concepts too early in the data model introduces ambiguity, increases regulatory risk, and makes double counting harder to prevent.</w:t>
      </w:r>
    </w:p>
    <w:p>
      <w:pPr>
        <w:pStyle w:val="BodyText"/>
      </w:pPr>
      <w:r>
        <w:t xml:space="preserve">The current implementation focus (Irish REDIII / RTFO) is strictly based on</w:t>
      </w:r>
      <w:r>
        <w:t xml:space="preserve"> </w:t>
      </w:r>
      <w:r>
        <w:rPr>
          <w:b/>
          <w:bCs/>
        </w:rPr>
        <w:t xml:space="preserve">energy output</w:t>
      </w:r>
      <w:r>
        <w:t xml:space="preserve">, with certificates derived from verified energy volumes, not from avoided emissions.</w:t>
      </w:r>
    </w:p>
    <w:p>
      <w:pPr>
        <w:pStyle w:val="BodyText"/>
      </w:pPr>
      <w:r>
        <w:t xml:space="preserve">A clear architectural decision is therefore required on what constitutes the</w:t>
      </w:r>
      <w:r>
        <w:t xml:space="preserve"> </w:t>
      </w:r>
      <w:r>
        <w:rPr>
          <w:b/>
          <w:bCs/>
        </w:rPr>
        <w:t xml:space="preserve">primary, irreducible unit of truth</w:t>
      </w:r>
      <w:r>
        <w:t xml:space="preserve"> </w:t>
      </w:r>
      <w:r>
        <w:t xml:space="preserve">within e-Performance.</w:t>
      </w:r>
    </w:p>
    <w:p>
      <w:r>
        <w:pict>
          <v:rect style="width:0;height:1.5pt" o:hralign="center" o:hrstd="t" o:hr="t"/>
        </w:pict>
      </w:r>
    </w:p>
    <w:bookmarkEnd w:id="23"/>
    <w:bookmarkStart w:id="27" w:name="decision"/>
    <w:p>
      <w:pPr>
        <w:pStyle w:val="Heading2"/>
      </w:pPr>
      <w:r>
        <w:t xml:space="preserve">2. Decision</w:t>
      </w:r>
    </w:p>
    <w:bookmarkStart w:id="24" w:name="primary-substrate"/>
    <w:p>
      <w:pPr>
        <w:pStyle w:val="Heading3"/>
      </w:pPr>
      <w:r>
        <w:t xml:space="preserve">2.1 Primary substrate</w:t>
      </w:r>
    </w:p>
    <w:p>
      <w:pPr>
        <w:pStyle w:val="FirstParagraph"/>
      </w:pPr>
      <w:r>
        <w:rPr>
          <w:b/>
          <w:bCs/>
        </w:rPr>
        <w:t xml:space="preserve">Energy is the primary claim substrate in e-Performance.</w:t>
      </w:r>
    </w:p>
    <w:p>
      <w:pPr>
        <w:pStyle w:val="Compact"/>
        <w:numPr>
          <w:ilvl w:val="0"/>
          <w:numId w:val="1002"/>
        </w:numPr>
      </w:pPr>
      <w:r>
        <w:t xml:space="preserve">Canonical internal representation:</w:t>
      </w:r>
      <w:r>
        <w:t xml:space="preserve"> </w:t>
      </w:r>
      <w:r>
        <w:rPr>
          <w:b/>
          <w:bCs/>
        </w:rPr>
        <w:t xml:space="preserve">kilowatt-hours (kWh)</w:t>
      </w:r>
    </w:p>
    <w:p>
      <w:pPr>
        <w:pStyle w:val="Compact"/>
        <w:numPr>
          <w:ilvl w:val="0"/>
          <w:numId w:val="1002"/>
        </w:numPr>
      </w:pPr>
      <w:r>
        <w:t xml:space="preserve">Regulatory conversion unit:</w:t>
      </w:r>
      <w:r>
        <w:t xml:space="preserve"> </w:t>
      </w:r>
      <w:r>
        <w:rPr>
          <w:b/>
          <w:bCs/>
        </w:rPr>
        <w:t xml:space="preserve">megajoules (MJ)</w:t>
      </w:r>
    </w:p>
    <w:p>
      <w:pPr>
        <w:pStyle w:val="Compact"/>
        <w:numPr>
          <w:ilvl w:val="0"/>
          <w:numId w:val="1002"/>
        </w:numPr>
      </w:pPr>
      <w:r>
        <w:t xml:space="preserve">Fixed conversion factor:</w:t>
      </w:r>
      <w:r>
        <w:t xml:space="preserve"> </w:t>
      </w:r>
      <w:r>
        <w:rPr>
          <w:b/>
          <w:bCs/>
        </w:rPr>
        <w:t xml:space="preserve">1 kWh = 3.6 MJ</w:t>
      </w:r>
    </w:p>
    <w:p>
      <w:pPr>
        <w:pStyle w:val="FirstParagraph"/>
      </w:pPr>
      <w:r>
        <w:t xml:space="preserve">All performance records, reconciliations, and claims must be traceable back to an underlying quantity of energy.</w:t>
      </w:r>
    </w:p>
    <w:p>
      <w:r>
        <w:pict>
          <v:rect style="width:0;height:1.5pt" o:hralign="center" o:hrstd="t" o:hr="t"/>
        </w:pict>
      </w:r>
    </w:p>
    <w:bookmarkEnd w:id="24"/>
    <w:bookmarkStart w:id="25" w:name="role-of-emissions-and-carbon"/>
    <w:p>
      <w:pPr>
        <w:pStyle w:val="Heading3"/>
      </w:pPr>
      <w:r>
        <w:t xml:space="preserve">2.2 Role of emissions and carbon</w:t>
      </w:r>
    </w:p>
    <w:p>
      <w:pPr>
        <w:pStyle w:val="Compact"/>
        <w:numPr>
          <w:ilvl w:val="0"/>
          <w:numId w:val="1003"/>
        </w:numPr>
      </w:pPr>
      <w:r>
        <w:t xml:space="preserve">CO₂, CO₂e, and emission reductions are</w:t>
      </w:r>
      <w:r>
        <w:t xml:space="preserve"> </w:t>
      </w:r>
      <w:r>
        <w:rPr>
          <w:b/>
          <w:bCs/>
        </w:rPr>
        <w:t xml:space="preserve">derived attributes</w:t>
      </w:r>
      <w:r>
        <w:t xml:space="preserve">, not primary records.</w:t>
      </w:r>
    </w:p>
    <w:p>
      <w:pPr>
        <w:pStyle w:val="Compact"/>
        <w:numPr>
          <w:ilvl w:val="0"/>
          <w:numId w:val="1003"/>
        </w:numPr>
      </w:pPr>
      <w:r>
        <w:t xml:space="preserve">Carbon calculations may only be performed</w:t>
      </w:r>
      <w:r>
        <w:t xml:space="preserve"> </w:t>
      </w:r>
      <w:r>
        <w:rPr>
          <w:b/>
          <w:bCs/>
        </w:rPr>
        <w:t xml:space="preserve">on top of verified energy performance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 claim may be generated directly from emissions data without a corresponding energy basis.</w:t>
      </w:r>
    </w:p>
    <w:p>
      <w:pPr>
        <w:pStyle w:val="FirstParagraph"/>
      </w:pPr>
      <w:r>
        <w:t xml:space="preserve">This applies to both compliance and voluntary market solutions.</w:t>
      </w:r>
    </w:p>
    <w:p>
      <w:r>
        <w:pict>
          <v:rect style="width:0;height:1.5pt" o:hralign="center" o:hrstd="t" o:hr="t"/>
        </w:pict>
      </w:r>
    </w:p>
    <w:bookmarkEnd w:id="25"/>
    <w:bookmarkStart w:id="26" w:name="scope-of-application"/>
    <w:p>
      <w:pPr>
        <w:pStyle w:val="Heading3"/>
      </w:pPr>
      <w:r>
        <w:t xml:space="preserve">2.3 Scope of application</w:t>
      </w:r>
    </w:p>
    <w:p>
      <w:pPr>
        <w:pStyle w:val="FirstParagraph"/>
      </w:pPr>
      <w:r>
        <w:t xml:space="preserve">This decision applies to:</w:t>
      </w:r>
      <w:r>
        <w:t xml:space="preserve"> </w:t>
      </w:r>
      <w:r>
        <w:t xml:space="preserve">- REDIII / RTFO modules</w:t>
      </w:r>
      <w:r>
        <w:t xml:space="preserve"> </w:t>
      </w:r>
      <w:r>
        <w:t xml:space="preserve">- Guarantee of Origin validation</w:t>
      </w:r>
      <w:r>
        <w:t xml:space="preserve"> </w:t>
      </w:r>
      <w:r>
        <w:t xml:space="preserve">- Future carbon credit methodologies</w:t>
      </w:r>
      <w:r>
        <w:t xml:space="preserve"> </w:t>
      </w:r>
      <w:r>
        <w:t xml:space="preserve">- Any future performance-based claim modules added to e-Performance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lternatives-considered"/>
    <w:p>
      <w:pPr>
        <w:pStyle w:val="Heading2"/>
      </w:pPr>
      <w:r>
        <w:t xml:space="preserve">3. Alternatives Considered</w:t>
      </w:r>
    </w:p>
    <w:bookmarkStart w:id="28" w:name="X6858b52b5dabe2f714bb23db6d262efa60304b8"/>
    <w:p>
      <w:pPr>
        <w:pStyle w:val="Heading3"/>
      </w:pPr>
      <w:r>
        <w:t xml:space="preserve">Alternative A — CO₂ as the primary substrate</w:t>
      </w:r>
    </w:p>
    <w:p>
      <w:pPr>
        <w:pStyle w:val="Compact"/>
        <w:numPr>
          <w:ilvl w:val="0"/>
          <w:numId w:val="1004"/>
        </w:numPr>
      </w:pPr>
      <w:r>
        <w:t xml:space="preserve">Use emissions or avoided emissions as the foundational unit.</w:t>
      </w:r>
    </w:p>
    <w:p>
      <w:pPr>
        <w:pStyle w:val="FirstParagraph"/>
      </w:pPr>
      <w:r>
        <w:rPr>
          <w:b/>
          <w:bCs/>
        </w:rPr>
        <w:t xml:space="preserve">Rejected</w:t>
      </w:r>
      <w:r>
        <w:t xml:space="preserve"> </w:t>
      </w:r>
      <w:r>
        <w:t xml:space="preserve">because:</w:t>
      </w:r>
      <w:r>
        <w:t xml:space="preserve"> </w:t>
      </w:r>
      <w:r>
        <w:t xml:space="preserve">- REDIII and GO regimes are energy-based;</w:t>
      </w:r>
      <w:r>
        <w:t xml:space="preserve"> </w:t>
      </w:r>
      <w:r>
        <w:t xml:space="preserve">- emission factors change over time and by source;</w:t>
      </w:r>
      <w:r>
        <w:t xml:space="preserve"> </w:t>
      </w:r>
      <w:r>
        <w:t xml:space="preserve">- it obscures the audit trail back to physical reality;</w:t>
      </w:r>
      <w:r>
        <w:t xml:space="preserve"> </w:t>
      </w:r>
      <w:r>
        <w:t xml:space="preserve">- it increases the risk of regulatory non-compliance.</w:t>
      </w:r>
    </w:p>
    <w:p>
      <w:r>
        <w:pict>
          <v:rect style="width:0;height:1.5pt" o:hralign="center" o:hrstd="t" o:hr="t"/>
        </w:pict>
      </w:r>
    </w:p>
    <w:bookmarkEnd w:id="28"/>
    <w:bookmarkStart w:id="29" w:name="X9604b824e18eecf30a38450c8a59185290e082d"/>
    <w:p>
      <w:pPr>
        <w:pStyle w:val="Heading3"/>
      </w:pPr>
      <w:r>
        <w:t xml:space="preserve">Alternative B — Dual primary substrates (energy + CO₂)</w:t>
      </w:r>
    </w:p>
    <w:p>
      <w:pPr>
        <w:pStyle w:val="Compact"/>
        <w:numPr>
          <w:ilvl w:val="0"/>
          <w:numId w:val="1005"/>
        </w:numPr>
      </w:pPr>
      <w:r>
        <w:t xml:space="preserve">Treat energy and emissions as equal foundational records.</w:t>
      </w:r>
    </w:p>
    <w:p>
      <w:pPr>
        <w:pStyle w:val="FirstParagraph"/>
      </w:pPr>
      <w:r>
        <w:rPr>
          <w:b/>
          <w:bCs/>
        </w:rPr>
        <w:t xml:space="preserve">Rejected</w:t>
      </w:r>
      <w:r>
        <w:t xml:space="preserve"> </w:t>
      </w:r>
      <w:r>
        <w:t xml:space="preserve">because:</w:t>
      </w:r>
      <w:r>
        <w:t xml:space="preserve"> </w:t>
      </w:r>
      <w:r>
        <w:t xml:space="preserve">- it creates ambiguity in reconciliation and locking;</w:t>
      </w:r>
      <w:r>
        <w:t xml:space="preserve"> </w:t>
      </w:r>
      <w:r>
        <w:t xml:space="preserve">- it complicates double-counting prevention;</w:t>
      </w:r>
      <w:r>
        <w:t xml:space="preserve"> </w:t>
      </w:r>
      <w:r>
        <w:t xml:space="preserve">- it makes cross-regime extensibility harder.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onsequences"/>
    <w:p>
      <w:pPr>
        <w:pStyle w:val="Heading2"/>
      </w:pPr>
      <w:r>
        <w:t xml:space="preserve">4. Consequences</w:t>
      </w:r>
    </w:p>
    <w:bookmarkStart w:id="31" w:name="positive"/>
    <w:p>
      <w:pPr>
        <w:pStyle w:val="Heading3"/>
      </w:pPr>
      <w:r>
        <w:t xml:space="preserve">Positive</w:t>
      </w:r>
    </w:p>
    <w:p>
      <w:pPr>
        <w:pStyle w:val="Compact"/>
        <w:numPr>
          <w:ilvl w:val="0"/>
          <w:numId w:val="1006"/>
        </w:numPr>
      </w:pPr>
      <w:r>
        <w:t xml:space="preserve">Single, regulator-neutral source of truth.</w:t>
      </w:r>
    </w:p>
    <w:p>
      <w:pPr>
        <w:pStyle w:val="Compact"/>
        <w:numPr>
          <w:ilvl w:val="0"/>
          <w:numId w:val="1006"/>
        </w:numPr>
      </w:pPr>
      <w:r>
        <w:t xml:space="preserve">Clear auditability back to meters and sessions.</w:t>
      </w:r>
    </w:p>
    <w:p>
      <w:pPr>
        <w:pStyle w:val="Compact"/>
        <w:numPr>
          <w:ilvl w:val="0"/>
          <w:numId w:val="1006"/>
        </w:numPr>
      </w:pPr>
      <w:r>
        <w:t xml:space="preserve">Straightforward extension to GO and RED modules.</w:t>
      </w:r>
    </w:p>
    <w:p>
      <w:pPr>
        <w:pStyle w:val="Compact"/>
        <w:numPr>
          <w:ilvl w:val="0"/>
          <w:numId w:val="1006"/>
        </w:numPr>
      </w:pPr>
      <w:r>
        <w:t xml:space="preserve">Carbon logic becomes modular and replaceable.</w:t>
      </w:r>
    </w:p>
    <w:bookmarkEnd w:id="31"/>
    <w:bookmarkStart w:id="32" w:name="trade-offs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07"/>
        </w:numPr>
      </w:pPr>
      <w:r>
        <w:t xml:space="preserve">Requires explicit conversion steps for carbon markets.</w:t>
      </w:r>
    </w:p>
    <w:p>
      <w:pPr>
        <w:pStyle w:val="Compact"/>
        <w:numPr>
          <w:ilvl w:val="0"/>
          <w:numId w:val="1007"/>
        </w:numPr>
      </w:pPr>
      <w:r>
        <w:t xml:space="preserve">Forces discipline in calculator design.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mplications-for-architecture-data-model"/>
    <w:p>
      <w:pPr>
        <w:pStyle w:val="Heading2"/>
      </w:pPr>
      <w:r>
        <w:t xml:space="preserve">5. Implications for Architecture &amp; Data Model</w:t>
      </w:r>
    </w:p>
    <w:p>
      <w:pPr>
        <w:pStyle w:val="Compact"/>
        <w:numPr>
          <w:ilvl w:val="0"/>
          <w:numId w:val="1008"/>
        </w:numPr>
      </w:pPr>
      <w:r>
        <w:t xml:space="preserve">Core performance entities store energy in</w:t>
      </w:r>
      <w:r>
        <w:t xml:space="preserve"> </w:t>
      </w:r>
      <w:r>
        <w:rPr>
          <w:b/>
          <w:bCs/>
        </w:rPr>
        <w:t xml:space="preserve">kWh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Aggregations (daily, monthly) operate on energy values.</w:t>
      </w:r>
    </w:p>
    <w:p>
      <w:pPr>
        <w:pStyle w:val="Compact"/>
        <w:numPr>
          <w:ilvl w:val="0"/>
          <w:numId w:val="1008"/>
        </w:numPr>
      </w:pPr>
      <w:r>
        <w:t xml:space="preserve">Claims reference energy snapshots, not raw emissions.</w:t>
      </w:r>
    </w:p>
    <w:p>
      <w:pPr>
        <w:pStyle w:val="Compact"/>
        <w:numPr>
          <w:ilvl w:val="0"/>
          <w:numId w:val="1008"/>
        </w:numPr>
      </w:pPr>
      <w:r>
        <w:t xml:space="preserve">Emission factors, grid intensity, and CO₂ outputs are stored as</w:t>
      </w:r>
      <w:r>
        <w:t xml:space="preserve"> </w:t>
      </w:r>
      <w:r>
        <w:rPr>
          <w:b/>
          <w:bCs/>
        </w:rPr>
        <w:t xml:space="preserve">derived artefacts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implications-for-rediii-rtfo"/>
    <w:p>
      <w:pPr>
        <w:pStyle w:val="Heading2"/>
      </w:pPr>
      <w:r>
        <w:t xml:space="preserve">6. Implications for REDIII / RTFO</w:t>
      </w:r>
    </w:p>
    <w:p>
      <w:pPr>
        <w:pStyle w:val="Compact"/>
        <w:numPr>
          <w:ilvl w:val="0"/>
          <w:numId w:val="1009"/>
        </w:numPr>
      </w:pPr>
      <w:r>
        <w:t xml:space="preserve">Certificate calculations are based on verified energy volumes.</w:t>
      </w:r>
    </w:p>
    <w:p>
      <w:pPr>
        <w:pStyle w:val="Compact"/>
        <w:numPr>
          <w:ilvl w:val="0"/>
          <w:numId w:val="1009"/>
        </w:numPr>
      </w:pPr>
      <w:r>
        <w:t xml:space="preserve">Conversion to MJ is deterministic and auditable.</w:t>
      </w:r>
    </w:p>
    <w:p>
      <w:pPr>
        <w:pStyle w:val="Compact"/>
        <w:numPr>
          <w:ilvl w:val="0"/>
          <w:numId w:val="1009"/>
        </w:numPr>
      </w:pPr>
      <w:r>
        <w:t xml:space="preserve">No CO₂-based optimisation or substitution is permitted within REDIII modules.</w:t>
      </w:r>
    </w:p>
    <w:p>
      <w:r>
        <w:pict>
          <v:rect style="width:0;height:1.5pt" o:hralign="center" o:hrstd="t" o:hr="t"/>
        </w:pict>
      </w:r>
    </w:p>
    <w:bookmarkEnd w:id="35"/>
    <w:bookmarkStart w:id="36" w:name="reversibility"/>
    <w:p>
      <w:pPr>
        <w:pStyle w:val="Heading2"/>
      </w:pPr>
      <w:r>
        <w:t xml:space="preserve">7. Reversibility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Low</w:t>
      </w:r>
      <w:r>
        <w:t xml:space="preserve">.</w:t>
      </w:r>
    </w:p>
    <w:p>
      <w:pPr>
        <w:pStyle w:val="FirstParagraph"/>
      </w:pPr>
      <w:r>
        <w:t xml:space="preserve">Changing the primary substrate would require:</w:t>
      </w:r>
      <w:r>
        <w:t xml:space="preserve"> </w:t>
      </w:r>
      <w:r>
        <w:t xml:space="preserve">- reworking the entire data model;</w:t>
      </w:r>
      <w:r>
        <w:t xml:space="preserve"> </w:t>
      </w:r>
      <w:r>
        <w:t xml:space="preserve">- invalidating reconciliation logic;</w:t>
      </w:r>
      <w:r>
        <w:t xml:space="preserve"> </w:t>
      </w:r>
      <w:r>
        <w:t xml:space="preserve">- reinterpreting regulatory narratives.</w:t>
      </w:r>
    </w:p>
    <w:p>
      <w:pPr>
        <w:pStyle w:val="BodyText"/>
      </w:pPr>
      <w:r>
        <w:t xml:space="preserve">This decision is foundational.</w:t>
      </w:r>
    </w:p>
    <w:p>
      <w:r>
        <w:pict>
          <v:rect style="width:0;height:1.5pt" o:hralign="center" o:hrstd="t" o:hr="t"/>
        </w:pict>
      </w:r>
    </w:p>
    <w:bookmarkEnd w:id="36"/>
    <w:bookmarkStart w:id="37" w:name="related-adrs"/>
    <w:p>
      <w:pPr>
        <w:pStyle w:val="Heading2"/>
      </w:pPr>
      <w:r>
        <w:t xml:space="preserve">8. Related ADRs</w:t>
      </w:r>
    </w:p>
    <w:p>
      <w:pPr>
        <w:pStyle w:val="Compact"/>
        <w:numPr>
          <w:ilvl w:val="0"/>
          <w:numId w:val="1011"/>
        </w:numPr>
      </w:pPr>
      <w:r>
        <w:t xml:space="preserve">ADR-000 — Product Identity &amp; Scope (e-Performance)</w:t>
      </w:r>
    </w:p>
    <w:p>
      <w:pPr>
        <w:pStyle w:val="Compact"/>
        <w:numPr>
          <w:ilvl w:val="0"/>
          <w:numId w:val="1011"/>
        </w:numPr>
      </w:pPr>
      <w:r>
        <w:t xml:space="preserve">ADR-002 — Two-Stream MRV Model</w:t>
      </w:r>
    </w:p>
    <w:p>
      <w:pPr>
        <w:pStyle w:val="Compact"/>
        <w:numPr>
          <w:ilvl w:val="0"/>
          <w:numId w:val="1011"/>
        </w:numPr>
      </w:pPr>
      <w:r>
        <w:t xml:space="preserve">ADR-003 — Reconciliation &amp; Tolerance Rules</w:t>
      </w:r>
    </w:p>
    <w:p>
      <w:pPr>
        <w:pStyle w:val="Compact"/>
        <w:numPr>
          <w:ilvl w:val="0"/>
          <w:numId w:val="1011"/>
        </w:numPr>
      </w:pPr>
      <w:r>
        <w:t xml:space="preserve">ADR-004 — Claim Isolation &amp; Double-Counting Prevention</w:t>
      </w:r>
    </w:p>
    <w:p>
      <w:r>
        <w:pict>
          <v:rect style="width:0;height:1.5pt" o:hralign="center" o:hrstd="t" o:hr="t"/>
        </w:pict>
      </w:r>
    </w:p>
    <w:bookmarkEnd w:id="37"/>
    <w:bookmarkStart w:id="38" w:name="references"/>
    <w:p>
      <w:pPr>
        <w:pStyle w:val="Heading2"/>
      </w:pPr>
      <w:r>
        <w:t xml:space="preserve">9. References</w:t>
      </w:r>
    </w:p>
    <w:p>
      <w:pPr>
        <w:pStyle w:val="Compact"/>
        <w:numPr>
          <w:ilvl w:val="0"/>
          <w:numId w:val="1012"/>
        </w:numPr>
      </w:pPr>
      <w:r>
        <w:t xml:space="preserve">REDIII / RTFO (NORA) methodology and guidance</w:t>
      </w:r>
    </w:p>
    <w:p>
      <w:pPr>
        <w:pStyle w:val="Compact"/>
        <w:numPr>
          <w:ilvl w:val="0"/>
          <w:numId w:val="1012"/>
        </w:numPr>
      </w:pPr>
      <w:r>
        <w:t xml:space="preserve">e-Spark MRV &amp; Reconciliation specifications</w:t>
      </w:r>
    </w:p>
    <w:p>
      <w:pPr>
        <w:pStyle w:val="Compact"/>
        <w:numPr>
          <w:ilvl w:val="0"/>
          <w:numId w:val="1012"/>
        </w:numPr>
      </w:pPr>
      <w:r>
        <w:t xml:space="preserve">e-Spark CC Solution — Context Pack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2026-02-07T00:15:51Z</dcterms:created>
  <dcterms:modified xsi:type="dcterms:W3CDTF">2026-02-07T00:15:51Z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