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dr-002-two-stream-mrv-model"/>
    <w:p>
      <w:pPr>
        <w:pStyle w:val="Heading1"/>
      </w:pPr>
      <w:r>
        <w:t xml:space="preserve">ADR-002 — Two-Stream MRV Model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Accepted</w:t>
      </w:r>
    </w:p>
    <w:bookmarkEnd w:id="20"/>
    <w:bookmarkStart w:id="21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2026-02-06</w:t>
      </w:r>
    </w:p>
    <w:bookmarkEnd w:id="21"/>
    <w:bookmarkStart w:id="22" w:name="authors"/>
    <w:p>
      <w:pPr>
        <w:pStyle w:val="Heading2"/>
      </w:pPr>
      <w:r>
        <w:t xml:space="preserve">Authors</w:t>
      </w:r>
    </w:p>
    <w:p>
      <w:pPr>
        <w:pStyle w:val="Compact"/>
        <w:numPr>
          <w:ilvl w:val="0"/>
          <w:numId w:val="1001"/>
        </w:numPr>
      </w:pPr>
      <w:r>
        <w:t xml:space="preserve">e-Spark Product &amp; Architecture Team</w:t>
      </w:r>
    </w:p>
    <w:p>
      <w:r>
        <w:pict>
          <v:rect style="width:0;height:1.5pt" o:hralign="center" o:hrstd="t" o:hr="t"/>
        </w:pict>
      </w:r>
    </w:p>
    <w:bookmarkEnd w:id="22"/>
    <w:bookmarkStart w:id="23" w:name="context"/>
    <w:p>
      <w:pPr>
        <w:pStyle w:val="Heading2"/>
      </w:pPr>
      <w:r>
        <w:t xml:space="preserve">1. Context</w:t>
      </w:r>
    </w:p>
    <w:p>
      <w:pPr>
        <w:pStyle w:val="FirstParagraph"/>
      </w:pPr>
      <w:r>
        <w:t xml:space="preserve">Energy-sector claims (REDIII, RTFO, Guarantees of Origin, future carbon methodologies) require a level of assurance that cannot be met by a single data source alone.</w:t>
      </w:r>
    </w:p>
    <w:p>
      <w:pPr>
        <w:pStyle w:val="BodyText"/>
      </w:pPr>
      <w:r>
        <w:t xml:space="preserve">In practice, two distinct but complementary sources of truth exist: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Regulatory-grade metering data</w:t>
      </w:r>
      <w:r>
        <w:t xml:space="preserve"> </w:t>
      </w:r>
      <w:r>
        <w:t xml:space="preserve">(e.g. DSO/TSO meters, ESB, certified submeters)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Operational performance data</w:t>
      </w:r>
      <w:r>
        <w:t xml:space="preserve"> </w:t>
      </w:r>
      <w:r>
        <w:t xml:space="preserve">(e.g. EV charging sessions, asset telemetry, EMS outputs)</w:t>
      </w:r>
    </w:p>
    <w:p>
      <w:pPr>
        <w:pStyle w:val="FirstParagraph"/>
      </w:pPr>
      <w:r>
        <w:t xml:space="preserve">Each stream has different strengths and weaknesses:</w:t>
      </w:r>
    </w:p>
    <w:p>
      <w:pPr>
        <w:pStyle w:val="Compact"/>
        <w:numPr>
          <w:ilvl w:val="0"/>
          <w:numId w:val="1003"/>
        </w:numPr>
      </w:pPr>
      <w:r>
        <w:t xml:space="preserve">Meter data is authoritative for settlement and regulation, but:</w:t>
      </w:r>
    </w:p>
    <w:p>
      <w:pPr>
        <w:pStyle w:val="Compact"/>
        <w:numPr>
          <w:ilvl w:val="1"/>
          <w:numId w:val="1004"/>
        </w:numPr>
      </w:pPr>
      <w:r>
        <w:t xml:space="preserve">is often delayed;</w:t>
      </w:r>
    </w:p>
    <w:p>
      <w:pPr>
        <w:pStyle w:val="Compact"/>
        <w:numPr>
          <w:ilvl w:val="1"/>
          <w:numId w:val="1004"/>
        </w:numPr>
      </w:pPr>
      <w:r>
        <w:t xml:space="preserve">lacks operational context;</w:t>
      </w:r>
    </w:p>
    <w:p>
      <w:pPr>
        <w:pStyle w:val="Compact"/>
        <w:numPr>
          <w:ilvl w:val="1"/>
          <w:numId w:val="1004"/>
        </w:numPr>
      </w:pPr>
      <w:r>
        <w:t xml:space="preserve">may not align perfectly with asset-level usage.</w:t>
      </w:r>
    </w:p>
    <w:p>
      <w:pPr>
        <w:pStyle w:val="Compact"/>
        <w:numPr>
          <w:ilvl w:val="0"/>
          <w:numId w:val="1003"/>
        </w:numPr>
      </w:pPr>
      <w:r>
        <w:t xml:space="preserve">Operational data is granular and timely, but:</w:t>
      </w:r>
    </w:p>
    <w:p>
      <w:pPr>
        <w:pStyle w:val="Compact"/>
        <w:numPr>
          <w:ilvl w:val="1"/>
          <w:numId w:val="1005"/>
        </w:numPr>
      </w:pPr>
      <w:r>
        <w:t xml:space="preserve">is not always regulator-certified;</w:t>
      </w:r>
    </w:p>
    <w:p>
      <w:pPr>
        <w:pStyle w:val="Compact"/>
        <w:numPr>
          <w:ilvl w:val="1"/>
          <w:numId w:val="1005"/>
        </w:numPr>
      </w:pPr>
      <w:r>
        <w:t xml:space="preserve">may contain gaps or noise;</w:t>
      </w:r>
    </w:p>
    <w:p>
      <w:pPr>
        <w:pStyle w:val="Compact"/>
        <w:numPr>
          <w:ilvl w:val="1"/>
          <w:numId w:val="1005"/>
        </w:numPr>
      </w:pPr>
      <w:r>
        <w:t xml:space="preserve">cannot alone support statutory claims.</w:t>
      </w:r>
    </w:p>
    <w:p>
      <w:pPr>
        <w:pStyle w:val="FirstParagraph"/>
      </w:pPr>
      <w:r>
        <w:t xml:space="preserve">A single-stream approach creates unacceptable risk, either:</w:t>
      </w:r>
      <w:r>
        <w:t xml:space="preserve"> </w:t>
      </w:r>
      <w:r>
        <w:t xml:space="preserve">- regulatory risk (if relying only on operational data), or</w:t>
      </w:r>
      <w:r>
        <w:t xml:space="preserve"> </w:t>
      </w:r>
      <w:r>
        <w:t xml:space="preserve">- performance opacity (if relying only on meters).</w:t>
      </w:r>
    </w:p>
    <w:p>
      <w:r>
        <w:pict>
          <v:rect style="width:0;height:1.5pt" o:hralign="center" o:hrstd="t" o:hr="t"/>
        </w:pict>
      </w:r>
    </w:p>
    <w:bookmarkEnd w:id="23"/>
    <w:bookmarkStart w:id="28" w:name="decision"/>
    <w:p>
      <w:pPr>
        <w:pStyle w:val="Heading2"/>
      </w:pPr>
      <w:r>
        <w:t xml:space="preserve">2. Decision</w:t>
      </w:r>
    </w:p>
    <w:bookmarkStart w:id="24" w:name="two-stream-mrv-model"/>
    <w:p>
      <w:pPr>
        <w:pStyle w:val="Heading3"/>
      </w:pPr>
      <w:r>
        <w:t xml:space="preserve">2.1 Two-stream MRV model</w:t>
      </w:r>
    </w:p>
    <w:p>
      <w:pPr>
        <w:pStyle w:val="FirstParagraph"/>
      </w:pPr>
      <w:r>
        <w:t xml:space="preserve">e-Performance shall implement a</w:t>
      </w:r>
      <w:r>
        <w:t xml:space="preserve"> </w:t>
      </w:r>
      <w:r>
        <w:rPr>
          <w:b/>
          <w:bCs/>
        </w:rPr>
        <w:t xml:space="preserve">Two-Stream MRV (Measurement, Reporting, Verification) model</w:t>
      </w:r>
      <w:r>
        <w:t xml:space="preserve">, consisting of: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Meter Stream (Regulatory Stream)</w:t>
      </w:r>
    </w:p>
    <w:p>
      <w:pPr>
        <w:pStyle w:val="Compact"/>
        <w:numPr>
          <w:ilvl w:val="1"/>
          <w:numId w:val="1007"/>
        </w:numPr>
      </w:pPr>
      <w:r>
        <w:t xml:space="preserve">Certified electricity meters</w:t>
      </w:r>
    </w:p>
    <w:p>
      <w:pPr>
        <w:pStyle w:val="Compact"/>
        <w:numPr>
          <w:ilvl w:val="1"/>
          <w:numId w:val="1007"/>
        </w:numPr>
      </w:pPr>
      <w:r>
        <w:t xml:space="preserve">Grid or supplier-grade readings</w:t>
      </w:r>
    </w:p>
    <w:p>
      <w:pPr>
        <w:pStyle w:val="Compact"/>
        <w:numPr>
          <w:ilvl w:val="1"/>
          <w:numId w:val="1007"/>
        </w:numPr>
      </w:pPr>
      <w:r>
        <w:t xml:space="preserve">Regulatory anchor for energy quantities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Operational Stream (Performance Stream)</w:t>
      </w:r>
    </w:p>
    <w:p>
      <w:pPr>
        <w:pStyle w:val="Compact"/>
        <w:numPr>
          <w:ilvl w:val="1"/>
          <w:numId w:val="1008"/>
        </w:numPr>
      </w:pPr>
      <w:r>
        <w:t xml:space="preserve">Asset-level usage data (e.g. EV charging sessions)</w:t>
      </w:r>
    </w:p>
    <w:p>
      <w:pPr>
        <w:pStyle w:val="Compact"/>
        <w:numPr>
          <w:ilvl w:val="1"/>
          <w:numId w:val="1008"/>
        </w:numPr>
      </w:pPr>
      <w:r>
        <w:t xml:space="preserve">High-frequency, high-context telemetry</w:t>
      </w:r>
    </w:p>
    <w:p>
      <w:pPr>
        <w:pStyle w:val="Compact"/>
        <w:numPr>
          <w:ilvl w:val="1"/>
          <w:numId w:val="1008"/>
        </w:numPr>
      </w:pPr>
      <w:r>
        <w:t xml:space="preserve">Operational evidence of energy use</w:t>
      </w:r>
    </w:p>
    <w:p>
      <w:pPr>
        <w:pStyle w:val="FirstParagraph"/>
      </w:pPr>
      <w:r>
        <w:t xml:space="preserve">Neither stream is sufficient on its own. Claims require both.</w:t>
      </w:r>
    </w:p>
    <w:p>
      <w:r>
        <w:pict>
          <v:rect style="width:0;height:1.5pt" o:hralign="center" o:hrstd="t" o:hr="t"/>
        </w:pict>
      </w:r>
    </w:p>
    <w:bookmarkEnd w:id="24"/>
    <w:bookmarkStart w:id="25" w:name="roles-of-each-stream"/>
    <w:p>
      <w:pPr>
        <w:pStyle w:val="Heading3"/>
      </w:pPr>
      <w:r>
        <w:t xml:space="preserve">2.2 Roles of each stream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Meter Stream</w:t>
      </w:r>
      <w:r>
        <w:t xml:space="preserve"> </w:t>
      </w:r>
      <w:r>
        <w:t xml:space="preserve">defines the</w:t>
      </w:r>
      <w:r>
        <w:t xml:space="preserve"> </w:t>
      </w:r>
      <w:r>
        <w:rPr>
          <w:i/>
          <w:iCs/>
        </w:rPr>
        <w:t xml:space="preserve">maximum energy available</w:t>
      </w:r>
      <w:r>
        <w:t xml:space="preserve"> </w:t>
      </w:r>
      <w:r>
        <w:t xml:space="preserve">for claims within a reporting period.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Operational Stream</w:t>
      </w:r>
      <w:r>
        <w:t xml:space="preserve"> </w:t>
      </w:r>
      <w:r>
        <w:t xml:space="preserve">explains</w:t>
      </w:r>
      <w:r>
        <w:t xml:space="preserve"> </w:t>
      </w:r>
      <w:r>
        <w:rPr>
          <w:i/>
          <w:iCs/>
        </w:rPr>
        <w:t xml:space="preserve">how and where</w:t>
      </w:r>
      <w:r>
        <w:t xml:space="preserve"> </w:t>
      </w:r>
      <w:r>
        <w:t xml:space="preserve">that energy was used.</w:t>
      </w:r>
    </w:p>
    <w:p>
      <w:pPr>
        <w:pStyle w:val="FirstParagraph"/>
      </w:pPr>
      <w:r>
        <w:t xml:space="preserve">Claims may only be generated when:</w:t>
      </w:r>
      <w:r>
        <w:t xml:space="preserve"> </w:t>
      </w:r>
      <w:r>
        <w:t xml:space="preserve">- both streams are present;</w:t>
      </w:r>
      <w:r>
        <w:t xml:space="preserve"> </w:t>
      </w:r>
      <w:r>
        <w:t xml:space="preserve">- both streams are internally consistent;</w:t>
      </w:r>
      <w:r>
        <w:t xml:space="preserve"> </w:t>
      </w:r>
      <w:r>
        <w:t xml:space="preserve">- reconciliation rules are satisfied.</w:t>
      </w:r>
    </w:p>
    <w:p>
      <w:r>
        <w:pict>
          <v:rect style="width:0;height:1.5pt" o:hralign="center" o:hrstd="t" o:hr="t"/>
        </w:pict>
      </w:r>
    </w:p>
    <w:bookmarkEnd w:id="25"/>
    <w:bookmarkStart w:id="26" w:name="temporal-alignment"/>
    <w:p>
      <w:pPr>
        <w:pStyle w:val="Heading3"/>
      </w:pPr>
      <w:r>
        <w:t xml:space="preserve">2.3 Temporal alignment</w:t>
      </w:r>
    </w:p>
    <w:p>
      <w:pPr>
        <w:pStyle w:val="Compact"/>
        <w:numPr>
          <w:ilvl w:val="0"/>
          <w:numId w:val="1010"/>
        </w:numPr>
      </w:pPr>
      <w:r>
        <w:t xml:space="preserve">Meter data and operational data must be aligned to a common reporting period (e.g. calendar month for REDIII).</w:t>
      </w:r>
    </w:p>
    <w:p>
      <w:pPr>
        <w:pStyle w:val="Compact"/>
        <w:numPr>
          <w:ilvl w:val="0"/>
          <w:numId w:val="1010"/>
        </w:numPr>
      </w:pPr>
      <w:r>
        <w:t xml:space="preserve">Ingestion may occur at different times, but reconciliation is performed only once both streams are complete for the period.</w:t>
      </w:r>
    </w:p>
    <w:p>
      <w:r>
        <w:pict>
          <v:rect style="width:0;height:1.5pt" o:hralign="center" o:hrstd="t" o:hr="t"/>
        </w:pict>
      </w:r>
    </w:p>
    <w:bookmarkEnd w:id="26"/>
    <w:bookmarkStart w:id="27" w:name="reconciliation-gate"/>
    <w:p>
      <w:pPr>
        <w:pStyle w:val="Heading3"/>
      </w:pPr>
      <w:r>
        <w:t xml:space="preserve">2.4 Reconciliation gate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reconciliation gate</w:t>
      </w:r>
      <w:r>
        <w:t xml:space="preserve"> </w:t>
      </w:r>
      <w:r>
        <w:t xml:space="preserve">is mandatory before any claim is produced:</w:t>
      </w:r>
    </w:p>
    <w:p>
      <w:pPr>
        <w:pStyle w:val="Compact"/>
        <w:numPr>
          <w:ilvl w:val="0"/>
          <w:numId w:val="1011"/>
        </w:numPr>
      </w:pPr>
      <w:r>
        <w:t xml:space="preserve">Energy quantities from both streams are compared;</w:t>
      </w:r>
    </w:p>
    <w:p>
      <w:pPr>
        <w:pStyle w:val="Compact"/>
        <w:numPr>
          <w:ilvl w:val="0"/>
          <w:numId w:val="1011"/>
        </w:numPr>
      </w:pPr>
      <w:r>
        <w:t xml:space="preserve">Differences are evaluated against defined tolerances;</w:t>
      </w:r>
    </w:p>
    <w:p>
      <w:pPr>
        <w:pStyle w:val="Compact"/>
        <w:numPr>
          <w:ilvl w:val="0"/>
          <w:numId w:val="1011"/>
        </w:numPr>
      </w:pPr>
      <w:r>
        <w:t xml:space="preserve">Outcomes are explicitly classified (pass, conditional pass, fail).</w:t>
      </w:r>
    </w:p>
    <w:p>
      <w:pPr>
        <w:pStyle w:val="FirstParagraph"/>
      </w:pPr>
      <w:r>
        <w:t xml:space="preserve">No downstream claim logic may bypass this gate.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lternatives-considered"/>
    <w:p>
      <w:pPr>
        <w:pStyle w:val="Heading2"/>
      </w:pPr>
      <w:r>
        <w:t xml:space="preserve">3. Alternatives Considered</w:t>
      </w:r>
    </w:p>
    <w:bookmarkStart w:id="29" w:name="alternative-a-meter-only-model"/>
    <w:p>
      <w:pPr>
        <w:pStyle w:val="Heading3"/>
      </w:pPr>
      <w:r>
        <w:t xml:space="preserve">Alternative A — Meter-only model</w:t>
      </w:r>
    </w:p>
    <w:p>
      <w:pPr>
        <w:pStyle w:val="Compact"/>
        <w:numPr>
          <w:ilvl w:val="0"/>
          <w:numId w:val="1012"/>
        </w:numPr>
      </w:pPr>
      <w:r>
        <w:t xml:space="preserve">Use regulatory meters as the sole source of truth.</w:t>
      </w:r>
    </w:p>
    <w:p>
      <w:pPr>
        <w:pStyle w:val="FirstParagraph"/>
      </w:pPr>
      <w:r>
        <w:rPr>
          <w:b/>
          <w:bCs/>
        </w:rPr>
        <w:t xml:space="preserve">Rejected</w:t>
      </w:r>
      <w:r>
        <w:t xml:space="preserve"> </w:t>
      </w:r>
      <w:r>
        <w:t xml:space="preserve">because:</w:t>
      </w:r>
      <w:r>
        <w:t xml:space="preserve"> </w:t>
      </w:r>
      <w:r>
        <w:t xml:space="preserve">- it provides no asset-level attribution;</w:t>
      </w:r>
      <w:r>
        <w:t xml:space="preserve"> </w:t>
      </w:r>
      <w:r>
        <w:t xml:space="preserve">- it obscures operational anomalies;</w:t>
      </w:r>
      <w:r>
        <w:t xml:space="preserve"> </w:t>
      </w:r>
      <w:r>
        <w:t xml:space="preserve">- it limits future extension to carbon and GO use cases.</w:t>
      </w:r>
    </w:p>
    <w:p>
      <w:r>
        <w:pict>
          <v:rect style="width:0;height:1.5pt" o:hralign="center" o:hrstd="t" o:hr="t"/>
        </w:pict>
      </w:r>
    </w:p>
    <w:bookmarkEnd w:id="29"/>
    <w:bookmarkStart w:id="30" w:name="alternative-b-operational-only-model"/>
    <w:p>
      <w:pPr>
        <w:pStyle w:val="Heading3"/>
      </w:pPr>
      <w:r>
        <w:t xml:space="preserve">Alternative B — Operational-only model</w:t>
      </w:r>
    </w:p>
    <w:p>
      <w:pPr>
        <w:pStyle w:val="Compact"/>
        <w:numPr>
          <w:ilvl w:val="0"/>
          <w:numId w:val="1013"/>
        </w:numPr>
      </w:pPr>
      <w:r>
        <w:t xml:space="preserve">Use sessions or telemetry as the sole source of truth.</w:t>
      </w:r>
    </w:p>
    <w:p>
      <w:pPr>
        <w:pStyle w:val="FirstParagraph"/>
      </w:pPr>
      <w:r>
        <w:rPr>
          <w:b/>
          <w:bCs/>
        </w:rPr>
        <w:t xml:space="preserve">Rejected</w:t>
      </w:r>
      <w:r>
        <w:t xml:space="preserve"> </w:t>
      </w:r>
      <w:r>
        <w:t xml:space="preserve">because:</w:t>
      </w:r>
      <w:r>
        <w:t xml:space="preserve"> </w:t>
      </w:r>
      <w:r>
        <w:t xml:space="preserve">- it is not regulator-grade;</w:t>
      </w:r>
      <w:r>
        <w:t xml:space="preserve"> </w:t>
      </w:r>
      <w:r>
        <w:t xml:space="preserve">- it fails statutory audit requirements;</w:t>
      </w:r>
      <w:r>
        <w:t xml:space="preserve"> </w:t>
      </w:r>
      <w:r>
        <w:t xml:space="preserve">- it weakens trust with verifiers.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onsequences"/>
    <w:p>
      <w:pPr>
        <w:pStyle w:val="Heading2"/>
      </w:pPr>
      <w:r>
        <w:t xml:space="preserve">4. Consequences</w:t>
      </w:r>
    </w:p>
    <w:bookmarkStart w:id="32" w:name="positive"/>
    <w:p>
      <w:pPr>
        <w:pStyle w:val="Heading3"/>
      </w:pPr>
      <w:r>
        <w:t xml:space="preserve">Positive</w:t>
      </w:r>
    </w:p>
    <w:p>
      <w:pPr>
        <w:pStyle w:val="Compact"/>
        <w:numPr>
          <w:ilvl w:val="0"/>
          <w:numId w:val="1014"/>
        </w:numPr>
      </w:pPr>
      <w:r>
        <w:t xml:space="preserve">Strong regulatory defensibility.</w:t>
      </w:r>
    </w:p>
    <w:p>
      <w:pPr>
        <w:pStyle w:val="Compact"/>
        <w:numPr>
          <w:ilvl w:val="0"/>
          <w:numId w:val="1014"/>
        </w:numPr>
      </w:pPr>
      <w:r>
        <w:t xml:space="preserve">Clear audit narrative (meter → operations → claim).</w:t>
      </w:r>
    </w:p>
    <w:p>
      <w:pPr>
        <w:pStyle w:val="Compact"/>
        <w:numPr>
          <w:ilvl w:val="0"/>
          <w:numId w:val="1014"/>
        </w:numPr>
      </w:pPr>
      <w:r>
        <w:t xml:space="preserve">Early detection of data issues and losses.</w:t>
      </w:r>
    </w:p>
    <w:p>
      <w:pPr>
        <w:pStyle w:val="Compact"/>
        <w:numPr>
          <w:ilvl w:val="0"/>
          <w:numId w:val="1014"/>
        </w:numPr>
      </w:pPr>
      <w:r>
        <w:t xml:space="preserve">Reusable across REDIII, GO, and carbon modules.</w:t>
      </w:r>
    </w:p>
    <w:bookmarkEnd w:id="32"/>
    <w:bookmarkStart w:id="33" w:name="trade-offs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15"/>
        </w:numPr>
      </w:pPr>
      <w:r>
        <w:t xml:space="preserve">Increased system complexity.</w:t>
      </w:r>
    </w:p>
    <w:p>
      <w:pPr>
        <w:pStyle w:val="Compact"/>
        <w:numPr>
          <w:ilvl w:val="0"/>
          <w:numId w:val="1015"/>
        </w:numPr>
      </w:pPr>
      <w:r>
        <w:t xml:space="preserve">Requires reconciliation logic and failure handling.</w:t>
      </w:r>
    </w:p>
    <w:p>
      <w:pPr>
        <w:pStyle w:val="Compact"/>
        <w:numPr>
          <w:ilvl w:val="0"/>
          <w:numId w:val="1015"/>
        </w:numPr>
      </w:pPr>
      <w:r>
        <w:t xml:space="preserve">Requires disciplined data governance.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mplications-for-architecture-data-model"/>
    <w:p>
      <w:pPr>
        <w:pStyle w:val="Heading2"/>
      </w:pPr>
      <w:r>
        <w:t xml:space="preserve">5. Implications for Architecture &amp; Data Model</w:t>
      </w:r>
    </w:p>
    <w:p>
      <w:pPr>
        <w:pStyle w:val="Compact"/>
        <w:numPr>
          <w:ilvl w:val="0"/>
          <w:numId w:val="1016"/>
        </w:numPr>
      </w:pPr>
      <w:r>
        <w:t xml:space="preserve">Separate ingestion pipelines for meter data and operational data.</w:t>
      </w:r>
    </w:p>
    <w:p>
      <w:pPr>
        <w:pStyle w:val="Compact"/>
        <w:numPr>
          <w:ilvl w:val="0"/>
          <w:numId w:val="1016"/>
        </w:numPr>
      </w:pPr>
      <w:r>
        <w:t xml:space="preserve">Explicit linkage between streams via site, asset, and period identifiers.</w:t>
      </w:r>
    </w:p>
    <w:p>
      <w:pPr>
        <w:pStyle w:val="Compact"/>
        <w:numPr>
          <w:ilvl w:val="0"/>
          <w:numId w:val="1016"/>
        </w:numPr>
      </w:pPr>
      <w:r>
        <w:t xml:space="preserve">Reconciliation artefacts stored as first-class entities.</w:t>
      </w:r>
    </w:p>
    <w:p>
      <w:pPr>
        <w:pStyle w:val="Compact"/>
        <w:numPr>
          <w:ilvl w:val="0"/>
          <w:numId w:val="1016"/>
        </w:numPr>
      </w:pPr>
      <w:r>
        <w:t xml:space="preserve">Claims reference reconciliation results, not raw data.</w:t>
      </w:r>
    </w:p>
    <w:p>
      <w:r>
        <w:pict>
          <v:rect style="width:0;height:1.5pt" o:hralign="center" o:hrstd="t" o:hr="t"/>
        </w:pict>
      </w:r>
    </w:p>
    <w:bookmarkEnd w:id="35"/>
    <w:bookmarkStart w:id="36" w:name="implications-for-rediii-rtfo"/>
    <w:p>
      <w:pPr>
        <w:pStyle w:val="Heading2"/>
      </w:pPr>
      <w:r>
        <w:t xml:space="preserve">6. Implications for REDIII / RTFO</w:t>
      </w:r>
    </w:p>
    <w:p>
      <w:pPr>
        <w:pStyle w:val="Compact"/>
        <w:numPr>
          <w:ilvl w:val="0"/>
          <w:numId w:val="1017"/>
        </w:numPr>
      </w:pPr>
      <w:r>
        <w:t xml:space="preserve">Meter data is the statutory anchor for energy volumes.</w:t>
      </w:r>
    </w:p>
    <w:p>
      <w:pPr>
        <w:pStyle w:val="Compact"/>
        <w:numPr>
          <w:ilvl w:val="0"/>
          <w:numId w:val="1017"/>
        </w:numPr>
      </w:pPr>
      <w:r>
        <w:t xml:space="preserve">Operational data provides supporting evidence and attribution.</w:t>
      </w:r>
    </w:p>
    <w:p>
      <w:pPr>
        <w:pStyle w:val="Compact"/>
        <w:numPr>
          <w:ilvl w:val="0"/>
          <w:numId w:val="1017"/>
        </w:numPr>
      </w:pPr>
      <w:r>
        <w:t xml:space="preserve">Monthly reconciliation is mandatory before RTFO reporting.</w:t>
      </w:r>
    </w:p>
    <w:p>
      <w:r>
        <w:pict>
          <v:rect style="width:0;height:1.5pt" o:hralign="center" o:hrstd="t" o:hr="t"/>
        </w:pict>
      </w:r>
    </w:p>
    <w:bookmarkEnd w:id="36"/>
    <w:bookmarkStart w:id="37" w:name="reversibility"/>
    <w:p>
      <w:pPr>
        <w:pStyle w:val="Heading2"/>
      </w:pPr>
      <w:r>
        <w:t xml:space="preserve">7. Reversibility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Medium to Low</w:t>
      </w:r>
      <w:r>
        <w:t xml:space="preserve">.</w:t>
      </w:r>
    </w:p>
    <w:p>
      <w:pPr>
        <w:pStyle w:val="FirstParagraph"/>
      </w:pPr>
      <w:r>
        <w:t xml:space="preserve">While individual reconciliation rules may evolve, abandoning the two-stream model would:</w:t>
      </w:r>
      <w:r>
        <w:t xml:space="preserve"> </w:t>
      </w:r>
      <w:r>
        <w:t xml:space="preserve">- reduce regulatory credibility;</w:t>
      </w:r>
      <w:r>
        <w:t xml:space="preserve"> </w:t>
      </w:r>
      <w:r>
        <w:t xml:space="preserve">- weaken auditability;</w:t>
      </w:r>
      <w:r>
        <w:t xml:space="preserve"> </w:t>
      </w:r>
      <w:r>
        <w:t xml:space="preserve">- constrain future modules.</w:t>
      </w:r>
    </w:p>
    <w:p>
      <w:r>
        <w:pict>
          <v:rect style="width:0;height:1.5pt" o:hralign="center" o:hrstd="t" o:hr="t"/>
        </w:pict>
      </w:r>
    </w:p>
    <w:bookmarkEnd w:id="37"/>
    <w:bookmarkStart w:id="38" w:name="related-adrs"/>
    <w:p>
      <w:pPr>
        <w:pStyle w:val="Heading2"/>
      </w:pPr>
      <w:r>
        <w:t xml:space="preserve">8. Related ADRs</w:t>
      </w:r>
    </w:p>
    <w:p>
      <w:pPr>
        <w:pStyle w:val="Compact"/>
        <w:numPr>
          <w:ilvl w:val="0"/>
          <w:numId w:val="1019"/>
        </w:numPr>
      </w:pPr>
      <w:r>
        <w:t xml:space="preserve">ADR-000 — Product Identity &amp; Scope (e-Performance)</w:t>
      </w:r>
    </w:p>
    <w:p>
      <w:pPr>
        <w:pStyle w:val="Compact"/>
        <w:numPr>
          <w:ilvl w:val="0"/>
          <w:numId w:val="1019"/>
        </w:numPr>
      </w:pPr>
      <w:r>
        <w:t xml:space="preserve">ADR-001 — Energy as the Primary Claim Substrate</w:t>
      </w:r>
    </w:p>
    <w:p>
      <w:pPr>
        <w:pStyle w:val="Compact"/>
        <w:numPr>
          <w:ilvl w:val="0"/>
          <w:numId w:val="1019"/>
        </w:numPr>
      </w:pPr>
      <w:r>
        <w:t xml:space="preserve">ADR-003 — Reconciliation &amp; Tolerance Rules</w:t>
      </w:r>
    </w:p>
    <w:p>
      <w:pPr>
        <w:pStyle w:val="Compact"/>
        <w:numPr>
          <w:ilvl w:val="0"/>
          <w:numId w:val="1019"/>
        </w:numPr>
      </w:pPr>
      <w:r>
        <w:t xml:space="preserve">ADR-004 — Claim Isolation &amp; Double-Counting Prevention</w:t>
      </w:r>
    </w:p>
    <w:p>
      <w:r>
        <w:pict>
          <v:rect style="width:0;height:1.5pt" o:hralign="center" o:hrstd="t" o:hr="t"/>
        </w:pict>
      </w:r>
    </w:p>
    <w:bookmarkEnd w:id="38"/>
    <w:bookmarkStart w:id="39" w:name="references"/>
    <w:p>
      <w:pPr>
        <w:pStyle w:val="Heading2"/>
      </w:pPr>
      <w:r>
        <w:t xml:space="preserve">9. References</w:t>
      </w:r>
    </w:p>
    <w:p>
      <w:pPr>
        <w:pStyle w:val="Compact"/>
        <w:numPr>
          <w:ilvl w:val="0"/>
          <w:numId w:val="1020"/>
        </w:numPr>
      </w:pPr>
      <w:r>
        <w:t xml:space="preserve">REDIII / RTFO (NORA) methodology and guidance</w:t>
      </w:r>
    </w:p>
    <w:p>
      <w:pPr>
        <w:pStyle w:val="Compact"/>
        <w:numPr>
          <w:ilvl w:val="0"/>
          <w:numId w:val="1020"/>
        </w:numPr>
      </w:pPr>
      <w:r>
        <w:t xml:space="preserve">e-Spark MRV &amp; Reconciliation specifications</w:t>
      </w:r>
    </w:p>
    <w:p>
      <w:pPr>
        <w:pStyle w:val="Compact"/>
        <w:numPr>
          <w:ilvl w:val="0"/>
          <w:numId w:val="1020"/>
        </w:numPr>
      </w:pPr>
      <w:r>
        <w:t xml:space="preserve">e-Spark CC Solution — Context Pack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2026-02-07T00:23:38Z</dcterms:created>
  <dcterms:modified xsi:type="dcterms:W3CDTF">2026-02-07T00:23:38Z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