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e6feab060d6b272c5fb3f97127884a22203042"/>
    <w:p>
      <w:pPr>
        <w:pStyle w:val="Heading1"/>
      </w:pPr>
      <w:r>
        <w:t xml:space="preserve">ADR-003 — Reconciliation, Tolerances &amp; Failure States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20"/>
    <w:bookmarkStart w:id="2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2026-02-06</w:t>
      </w:r>
    </w:p>
    <w:bookmarkEnd w:id="21"/>
    <w:bookmarkStart w:id="22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e-Spark Product &amp; Architecture Team</w:t>
      </w:r>
    </w:p>
    <w:p>
      <w:r>
        <w:pict>
          <v:rect style="width:0;height:1.5pt" o:hralign="center" o:hrstd="t" o:hr="t"/>
        </w:pict>
      </w:r>
    </w:p>
    <w:bookmarkEnd w:id="22"/>
    <w:bookmarkStart w:id="23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Under the Two-Stream MRV model (ADR-002), e-Performance ingests: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Meter Stream</w:t>
      </w:r>
      <w:r>
        <w:t xml:space="preserve"> </w:t>
      </w:r>
      <w:r>
        <w:t xml:space="preserve">(regulatory-grade energy measurements), and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Operational Stream</w:t>
      </w:r>
      <w:r>
        <w:t xml:space="preserve"> </w:t>
      </w:r>
      <w:r>
        <w:t xml:space="preserve">(asset-level usage and telemetry).</w:t>
      </w:r>
    </w:p>
    <w:p>
      <w:pPr>
        <w:pStyle w:val="BodyText"/>
      </w:pPr>
      <w:r>
        <w:t xml:space="preserve">In real-world energy systems, these streams will</w:t>
      </w:r>
      <w:r>
        <w:t xml:space="preserve"> </w:t>
      </w:r>
      <w:r>
        <w:rPr>
          <w:b/>
          <w:bCs/>
        </w:rPr>
        <w:t xml:space="preserve">never perfectly match</w:t>
      </w:r>
      <w:r>
        <w:t xml:space="preserve"> </w:t>
      </w:r>
      <w:r>
        <w:t xml:space="preserve">due to:</w:t>
      </w:r>
      <w:r>
        <w:t xml:space="preserve"> </w:t>
      </w:r>
      <w:r>
        <w:t xml:space="preserve">- measurement resolution differences;</w:t>
      </w:r>
      <w:r>
        <w:t xml:space="preserve"> </w:t>
      </w:r>
      <w:r>
        <w:t xml:space="preserve">- transmission and conversion losses;</w:t>
      </w:r>
      <w:r>
        <w:t xml:space="preserve"> </w:t>
      </w:r>
      <w:r>
        <w:t xml:space="preserve">- clock drift and time-bucketing effects;</w:t>
      </w:r>
      <w:r>
        <w:t xml:space="preserve"> </w:t>
      </w:r>
      <w:r>
        <w:t xml:space="preserve">- delayed or missing readings;</w:t>
      </w:r>
      <w:r>
        <w:t xml:space="preserve"> </w:t>
      </w:r>
      <w:r>
        <w:t xml:space="preserve">- data corrections by DSOs or operators.</w:t>
      </w:r>
    </w:p>
    <w:p>
      <w:pPr>
        <w:pStyle w:val="BodyText"/>
      </w:pPr>
      <w:r>
        <w:t xml:space="preserve">Without explicit reconciliation rules, discrepancies lead to:</w:t>
      </w:r>
      <w:r>
        <w:t xml:space="preserve"> </w:t>
      </w:r>
      <w:r>
        <w:t xml:space="preserve">- inconsistent claims;</w:t>
      </w:r>
      <w:r>
        <w:t xml:space="preserve"> </w:t>
      </w:r>
      <w:r>
        <w:t xml:space="preserve">- manual, ad-hoc decision making;</w:t>
      </w:r>
      <w:r>
        <w:t xml:space="preserve"> </w:t>
      </w:r>
      <w:r>
        <w:t xml:space="preserve">- audit risk and loss of regulator trust.</w:t>
      </w:r>
    </w:p>
    <w:p>
      <w:pPr>
        <w:pStyle w:val="BodyText"/>
      </w:pPr>
      <w:r>
        <w:t xml:space="preserve">A deterministic reconciliation framework is therefore required to:</w:t>
      </w:r>
      <w:r>
        <w:t xml:space="preserve"> </w:t>
      </w:r>
      <w:r>
        <w:t xml:space="preserve">- decide when streams are</w:t>
      </w:r>
      <w:r>
        <w:t xml:space="preserve"> </w:t>
      </w:r>
      <w:r>
        <w:t xml:space="preserve">“close enough”</w:t>
      </w:r>
      <w:r>
        <w:t xml:space="preserve">;</w:t>
      </w:r>
      <w:r>
        <w:t xml:space="preserve"> </w:t>
      </w:r>
      <w:r>
        <w:t xml:space="preserve">- define acceptable tolerances;</w:t>
      </w:r>
      <w:r>
        <w:t xml:space="preserve"> </w:t>
      </w:r>
      <w:r>
        <w:t xml:space="preserve">- classify outcomes in a machine-verifiable way;</w:t>
      </w:r>
      <w:r>
        <w:t xml:space="preserve"> </w:t>
      </w:r>
      <w:r>
        <w:t xml:space="preserve">- prevent downstream claims when reconciliation fails.</w:t>
      </w:r>
    </w:p>
    <w:p>
      <w:r>
        <w:pict>
          <v:rect style="width:0;height:1.5pt" o:hralign="center" o:hrstd="t" o:hr="t"/>
        </w:pict>
      </w:r>
    </w:p>
    <w:bookmarkEnd w:id="23"/>
    <w:bookmarkStart w:id="29" w:name="decision"/>
    <w:p>
      <w:pPr>
        <w:pStyle w:val="Heading2"/>
      </w:pPr>
      <w:r>
        <w:t xml:space="preserve">2. Decision</w:t>
      </w:r>
    </w:p>
    <w:bookmarkStart w:id="24" w:name="mandatory-reconciliation"/>
    <w:p>
      <w:pPr>
        <w:pStyle w:val="Heading3"/>
      </w:pPr>
      <w:r>
        <w:t xml:space="preserve">2.1 Mandatory reconciliation</w:t>
      </w:r>
    </w:p>
    <w:p>
      <w:pPr>
        <w:pStyle w:val="FirstParagraph"/>
      </w:pPr>
      <w:r>
        <w:t xml:space="preserve">All claims produced by e-Performance</w:t>
      </w:r>
      <w:r>
        <w:t xml:space="preserve"> </w:t>
      </w:r>
      <w:r>
        <w:rPr>
          <w:b/>
          <w:bCs/>
        </w:rPr>
        <w:t xml:space="preserve">must pass through a reconciliation step</w:t>
      </w:r>
      <w:r>
        <w:t xml:space="preserve">.</w:t>
      </w:r>
    </w:p>
    <w:p>
      <w:pPr>
        <w:pStyle w:val="BodyText"/>
      </w:pPr>
      <w:r>
        <w:t xml:space="preserve">Reconciliation compares, per reporting period:</w:t>
      </w:r>
      <w:r>
        <w:t xml:space="preserve"> </w:t>
      </w:r>
      <w:r>
        <w:t xml:space="preserve">- total energy from the Meter Stream; and</w:t>
      </w:r>
      <w:r>
        <w:t xml:space="preserve"> </w:t>
      </w:r>
      <w:r>
        <w:t xml:space="preserve">- total energy from the Operational Stream.</w:t>
      </w:r>
    </w:p>
    <w:p>
      <w:pPr>
        <w:pStyle w:val="BodyText"/>
      </w:pPr>
      <w:r>
        <w:t xml:space="preserve">No claim may be generated unless reconciliation has been evaluated and classified.</w:t>
      </w:r>
    </w:p>
    <w:p>
      <w:r>
        <w:pict>
          <v:rect style="width:0;height:1.5pt" o:hralign="center" o:hrstd="t" o:hr="t"/>
        </w:pict>
      </w:r>
    </w:p>
    <w:bookmarkEnd w:id="24"/>
    <w:bookmarkStart w:id="25" w:name="canonical-reconciliation-metric"/>
    <w:p>
      <w:pPr>
        <w:pStyle w:val="Heading3"/>
      </w:pPr>
      <w:r>
        <w:t xml:space="preserve">2.2 Canonical reconciliation metric</w:t>
      </w:r>
    </w:p>
    <w:p>
      <w:pPr>
        <w:pStyle w:val="FirstParagraph"/>
      </w:pPr>
      <w:r>
        <w:t xml:space="preserve">Reconciliation is evaluated using</w:t>
      </w:r>
      <w:r>
        <w:t xml:space="preserve"> </w:t>
      </w:r>
      <w:r>
        <w:rPr>
          <w:b/>
          <w:bCs/>
        </w:rPr>
        <w:t xml:space="preserve">relative variance</w:t>
      </w:r>
      <w:r>
        <w:t xml:space="preserve">, defined as:</w:t>
      </w:r>
    </w:p>
    <w:p>
      <w:pPr>
        <w:pStyle w:val="SourceCode"/>
      </w:pPr>
      <w:r>
        <w:rPr>
          <w:rStyle w:val="VerbatimChar"/>
        </w:rPr>
        <w:t xml:space="preserve">variance = |E_meter − E_operational| / E_meter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E_meter</w:t>
      </w:r>
      <w:r>
        <w:t xml:space="preserve"> </w:t>
      </w:r>
      <w:r>
        <w:t xml:space="preserve">is the reconciled energy total from regulatory meters;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E_operational</w:t>
      </w:r>
      <w:r>
        <w:t xml:space="preserve"> </w:t>
      </w:r>
      <w:r>
        <w:t xml:space="preserve">is the reconciled energy total from operational data.</w:t>
      </w:r>
    </w:p>
    <w:p>
      <w:pPr>
        <w:pStyle w:val="BodyText"/>
      </w:pPr>
      <w:r>
        <w:t xml:space="preserve">The Meter Stream is the reference baseline.</w:t>
      </w:r>
    </w:p>
    <w:p>
      <w:r>
        <w:pict>
          <v:rect style="width:0;height:1.5pt" o:hralign="center" o:hrstd="t" o:hr="t"/>
        </w:pict>
      </w:r>
    </w:p>
    <w:bookmarkEnd w:id="25"/>
    <w:bookmarkStart w:id="26" w:name="tolerance-bands"/>
    <w:p>
      <w:pPr>
        <w:pStyle w:val="Heading3"/>
      </w:pPr>
      <w:r>
        <w:t xml:space="preserve">2.3 Tolerance bands</w:t>
      </w:r>
    </w:p>
    <w:p>
      <w:pPr>
        <w:pStyle w:val="FirstParagraph"/>
      </w:pPr>
      <w:r>
        <w:t xml:space="preserve">Reconciliation outcomes are classified into three bands: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variance ≤ X%</w:t>
            </w:r>
          </w:p>
        </w:tc>
        <w:tc>
          <w:tcPr/>
          <w:p>
            <w:pPr>
              <w:pStyle w:val="Compact"/>
            </w:pPr>
            <w:r>
              <w:t xml:space="preserve">Streams are consistent; claims may proceed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PASS</w:t>
            </w:r>
          </w:p>
        </w:tc>
        <w:tc>
          <w:tcPr/>
          <w:p>
            <w:pPr>
              <w:pStyle w:val="Compact"/>
            </w:pPr>
            <w:r>
              <w:t xml:space="preserve">X% &lt; variance ≤ Y%</w:t>
            </w:r>
          </w:p>
        </w:tc>
        <w:tc>
          <w:tcPr/>
          <w:p>
            <w:pPr>
              <w:pStyle w:val="Compact"/>
            </w:pPr>
            <w:r>
              <w:t xml:space="preserve">Claims may proceed with flags and 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variance &gt; Y%</w:t>
            </w:r>
          </w:p>
        </w:tc>
        <w:tc>
          <w:tcPr/>
          <w:p>
            <w:pPr>
              <w:pStyle w:val="Compact"/>
            </w:pPr>
            <w:r>
              <w:t xml:space="preserve">Claims are blocked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are tolerance thresholds defined per regulatory module.</w:t>
      </w:r>
      <w:r>
        <w:t xml:space="preserve"> </w:t>
      </w:r>
      <w:r>
        <w:t xml:space="preserve">- Default thresholds must be conservative and regulator-aligned.</w:t>
      </w:r>
    </w:p>
    <w:p>
      <w:pPr>
        <w:pStyle w:val="BodyText"/>
      </w:pPr>
      <w:r>
        <w:t xml:space="preserve">Exact values for X and Y are defined in module-specific ADRs or configuration, not hard-coded.</w:t>
      </w:r>
    </w:p>
    <w:p>
      <w:r>
        <w:pict>
          <v:rect style="width:0;height:1.5pt" o:hralign="center" o:hrstd="t" o:hr="t"/>
        </w:pict>
      </w:r>
    </w:p>
    <w:bookmarkEnd w:id="26"/>
    <w:bookmarkStart w:id="27" w:name="failure-states"/>
    <w:p>
      <w:pPr>
        <w:pStyle w:val="Heading3"/>
      </w:pPr>
      <w:r>
        <w:t xml:space="preserve">2.4 Failure states</w:t>
      </w:r>
    </w:p>
    <w:p>
      <w:pPr>
        <w:pStyle w:val="FirstParagraph"/>
      </w:pPr>
      <w:r>
        <w:t xml:space="preserve">A reconciliation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may occur due to:</w:t>
      </w:r>
    </w:p>
    <w:p>
      <w:pPr>
        <w:pStyle w:val="Compact"/>
        <w:numPr>
          <w:ilvl w:val="0"/>
          <w:numId w:val="1002"/>
        </w:numPr>
      </w:pPr>
      <w:r>
        <w:t xml:space="preserve">variance exceeding tolerance;</w:t>
      </w:r>
    </w:p>
    <w:p>
      <w:pPr>
        <w:pStyle w:val="Compact"/>
        <w:numPr>
          <w:ilvl w:val="0"/>
          <w:numId w:val="1002"/>
        </w:numPr>
      </w:pPr>
      <w:r>
        <w:t xml:space="preserve">missing meter data for the period;</w:t>
      </w:r>
    </w:p>
    <w:p>
      <w:pPr>
        <w:pStyle w:val="Compact"/>
        <w:numPr>
          <w:ilvl w:val="0"/>
          <w:numId w:val="1002"/>
        </w:numPr>
      </w:pPr>
      <w:r>
        <w:t xml:space="preserve">missing operational data for the period;</w:t>
      </w:r>
    </w:p>
    <w:p>
      <w:pPr>
        <w:pStyle w:val="Compact"/>
        <w:numPr>
          <w:ilvl w:val="0"/>
          <w:numId w:val="1002"/>
        </w:numPr>
      </w:pPr>
      <w:r>
        <w:t xml:space="preserve">inconsistent asset or site mappings;</w:t>
      </w:r>
    </w:p>
    <w:p>
      <w:pPr>
        <w:pStyle w:val="Compact"/>
        <w:numPr>
          <w:ilvl w:val="0"/>
          <w:numId w:val="1002"/>
        </w:numPr>
      </w:pPr>
      <w:r>
        <w:t xml:space="preserve">unresolved data integrity errors.</w:t>
      </w:r>
    </w:p>
    <w:p>
      <w:pPr>
        <w:pStyle w:val="FirstParagraph"/>
      </w:pPr>
      <w:r>
        <w:t xml:space="preserve">In a FAIL state:</w:t>
      </w:r>
      <w:r>
        <w:t xml:space="preserve"> </w:t>
      </w:r>
      <w:r>
        <w:t xml:space="preserve">- no claims may be generated;</w:t>
      </w:r>
      <w:r>
        <w:t xml:space="preserve"> </w:t>
      </w:r>
      <w:r>
        <w:t xml:space="preserve">- the period is explicitly marked as non-claimable;</w:t>
      </w:r>
      <w:r>
        <w:t xml:space="preserve"> </w:t>
      </w:r>
      <w:r>
        <w:t xml:space="preserve">- remediation is required before re-evaluation.</w:t>
      </w:r>
    </w:p>
    <w:p>
      <w:r>
        <w:pict>
          <v:rect style="width:0;height:1.5pt" o:hralign="center" o:hrstd="t" o:hr="t"/>
        </w:pict>
      </w:r>
    </w:p>
    <w:bookmarkEnd w:id="27"/>
    <w:bookmarkStart w:id="28" w:name="conditional-passes"/>
    <w:p>
      <w:pPr>
        <w:pStyle w:val="Heading3"/>
      </w:pPr>
      <w:r>
        <w:t xml:space="preserve">2.5 Conditional passes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CONDITIONAL PASS</w:t>
      </w:r>
      <w:r>
        <w:t xml:space="preserve">:</w:t>
      </w:r>
      <w:r>
        <w:t xml:space="preserve"> </w:t>
      </w:r>
      <w:r>
        <w:t xml:space="preserve">- allows claim generation;</w:t>
      </w:r>
      <w:r>
        <w:t xml:space="preserve"> </w:t>
      </w:r>
      <w:r>
        <w:t xml:space="preserve">- requires explicit annotation of the discrepancy;</w:t>
      </w:r>
      <w:r>
        <w:t xml:space="preserve"> </w:t>
      </w:r>
      <w:r>
        <w:t xml:space="preserve">- must be visible to auditors and verifiers;</w:t>
      </w:r>
      <w:r>
        <w:t xml:space="preserve"> </w:t>
      </w:r>
      <w:r>
        <w:t xml:space="preserve">- may trigger enhanced review depending on regime.</w:t>
      </w:r>
    </w:p>
    <w:p>
      <w:pPr>
        <w:pStyle w:val="BodyText"/>
      </w:pPr>
      <w:r>
        <w:t xml:space="preserve">Conditional passes are first-class outcomes, not silent tolerances.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lternatives-considered"/>
    <w:p>
      <w:pPr>
        <w:pStyle w:val="Heading2"/>
      </w:pPr>
      <w:r>
        <w:t xml:space="preserve">3. Alternatives Considered</w:t>
      </w:r>
    </w:p>
    <w:bookmarkStart w:id="30" w:name="alternative-a-hard-equality-requirement"/>
    <w:p>
      <w:pPr>
        <w:pStyle w:val="Heading3"/>
      </w:pPr>
      <w:r>
        <w:t xml:space="preserve">Alternative A — Hard equality requirement</w:t>
      </w:r>
    </w:p>
    <w:p>
      <w:pPr>
        <w:pStyle w:val="Compact"/>
        <w:numPr>
          <w:ilvl w:val="0"/>
          <w:numId w:val="1003"/>
        </w:numPr>
      </w:pPr>
      <w:r>
        <w:t xml:space="preserve">Require meter and operational totals to match exactly.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is unrealistic in physical systems;</w:t>
      </w:r>
      <w:r>
        <w:t xml:space="preserve"> </w:t>
      </w:r>
      <w:r>
        <w:t xml:space="preserve">- it would block valid claims;</w:t>
      </w:r>
      <w:r>
        <w:t xml:space="preserve"> </w:t>
      </w:r>
      <w:r>
        <w:t xml:space="preserve">- it incentivises data manipulation.</w:t>
      </w:r>
    </w:p>
    <w:p>
      <w:r>
        <w:pict>
          <v:rect style="width:0;height:1.5pt" o:hralign="center" o:hrstd="t" o:hr="t"/>
        </w:pict>
      </w:r>
    </w:p>
    <w:bookmarkEnd w:id="30"/>
    <w:bookmarkStart w:id="31" w:name="alternative-b-no-explicit-tolerances"/>
    <w:p>
      <w:pPr>
        <w:pStyle w:val="Heading3"/>
      </w:pPr>
      <w:r>
        <w:t xml:space="preserve">Alternative B — No explicit tolerances</w:t>
      </w:r>
    </w:p>
    <w:p>
      <w:pPr>
        <w:pStyle w:val="Compact"/>
        <w:numPr>
          <w:ilvl w:val="0"/>
          <w:numId w:val="1004"/>
        </w:numPr>
      </w:pPr>
      <w:r>
        <w:t xml:space="preserve">Allow human judgement on discrepancies.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is non-deterministic;</w:t>
      </w:r>
      <w:r>
        <w:t xml:space="preserve"> </w:t>
      </w:r>
      <w:r>
        <w:t xml:space="preserve">- it weakens auditability;</w:t>
      </w:r>
      <w:r>
        <w:t xml:space="preserve"> </w:t>
      </w:r>
      <w:r>
        <w:t xml:space="preserve">- it does not scale.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nsequences"/>
    <w:p>
      <w:pPr>
        <w:pStyle w:val="Heading2"/>
      </w:pPr>
      <w:r>
        <w:t xml:space="preserve">4. Consequences</w:t>
      </w:r>
    </w:p>
    <w:bookmarkStart w:id="33" w:name="positive"/>
    <w:p>
      <w:pPr>
        <w:pStyle w:val="Heading3"/>
      </w:pPr>
      <w:r>
        <w:t xml:space="preserve">Positive</w:t>
      </w:r>
    </w:p>
    <w:p>
      <w:pPr>
        <w:pStyle w:val="Compact"/>
        <w:numPr>
          <w:ilvl w:val="0"/>
          <w:numId w:val="1005"/>
        </w:numPr>
      </w:pPr>
      <w:r>
        <w:t xml:space="preserve">Deterministic and auditable claim eligibility.</w:t>
      </w:r>
    </w:p>
    <w:p>
      <w:pPr>
        <w:pStyle w:val="Compact"/>
        <w:numPr>
          <w:ilvl w:val="0"/>
          <w:numId w:val="1005"/>
        </w:numPr>
      </w:pPr>
      <w:r>
        <w:t xml:space="preserve">Transparent handling of real-world imperfections.</w:t>
      </w:r>
    </w:p>
    <w:p>
      <w:pPr>
        <w:pStyle w:val="Compact"/>
        <w:numPr>
          <w:ilvl w:val="0"/>
          <w:numId w:val="1005"/>
        </w:numPr>
      </w:pPr>
      <w:r>
        <w:t xml:space="preserve">Clear operational remediation paths.</w:t>
      </w:r>
    </w:p>
    <w:p>
      <w:pPr>
        <w:pStyle w:val="Compact"/>
        <w:numPr>
          <w:ilvl w:val="0"/>
          <w:numId w:val="1005"/>
        </w:numPr>
      </w:pPr>
      <w:r>
        <w:t xml:space="preserve">Consistent behaviour across modules.</w:t>
      </w:r>
    </w:p>
    <w:bookmarkEnd w:id="33"/>
    <w:bookmarkStart w:id="34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06"/>
        </w:numPr>
      </w:pPr>
      <w:r>
        <w:t xml:space="preserve">Requires careful selection of tolerance thresholds.</w:t>
      </w:r>
    </w:p>
    <w:p>
      <w:pPr>
        <w:pStyle w:val="Compact"/>
        <w:numPr>
          <w:ilvl w:val="0"/>
          <w:numId w:val="1006"/>
        </w:numPr>
      </w:pPr>
      <w:r>
        <w:t xml:space="preserve">Introduces additional system states to manage.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lications-for-architecture-data-model"/>
    <w:p>
      <w:pPr>
        <w:pStyle w:val="Heading2"/>
      </w:pPr>
      <w:r>
        <w:t xml:space="preserve">5. Implications for Architecture &amp; Data Model</w:t>
      </w:r>
    </w:p>
    <w:p>
      <w:pPr>
        <w:pStyle w:val="Compact"/>
        <w:numPr>
          <w:ilvl w:val="0"/>
          <w:numId w:val="1007"/>
        </w:numPr>
      </w:pPr>
      <w:r>
        <w:t xml:space="preserve">Reconciliation results are stored as immutable artefacts.</w:t>
      </w:r>
    </w:p>
    <w:p>
      <w:pPr>
        <w:pStyle w:val="Compact"/>
        <w:numPr>
          <w:ilvl w:val="0"/>
          <w:numId w:val="1007"/>
        </w:numPr>
      </w:pPr>
      <w:r>
        <w:t xml:space="preserve">Each reporting period has a single reconciliation outcome.</w:t>
      </w:r>
    </w:p>
    <w:p>
      <w:pPr>
        <w:pStyle w:val="Compact"/>
        <w:numPr>
          <w:ilvl w:val="0"/>
          <w:numId w:val="1007"/>
        </w:numPr>
      </w:pPr>
      <w:r>
        <w:t xml:space="preserve">Claims reference reconciliation IDs, not raw data.</w:t>
      </w:r>
    </w:p>
    <w:p>
      <w:pPr>
        <w:pStyle w:val="Compact"/>
        <w:numPr>
          <w:ilvl w:val="0"/>
          <w:numId w:val="1007"/>
        </w:numPr>
      </w:pPr>
      <w:r>
        <w:t xml:space="preserve">Variance metrics and classifications are persisted for audit.</w:t>
      </w:r>
    </w:p>
    <w:p>
      <w:r>
        <w:pict>
          <v:rect style="width:0;height:1.5pt" o:hralign="center" o:hrstd="t" o:hr="t"/>
        </w:pict>
      </w:r>
    </w:p>
    <w:bookmarkEnd w:id="36"/>
    <w:bookmarkStart w:id="37" w:name="implications-for-rediii-rtfo"/>
    <w:p>
      <w:pPr>
        <w:pStyle w:val="Heading2"/>
      </w:pPr>
      <w:r>
        <w:t xml:space="preserve">6. Implications for REDIII / RTFO</w:t>
      </w:r>
    </w:p>
    <w:p>
      <w:pPr>
        <w:pStyle w:val="Compact"/>
        <w:numPr>
          <w:ilvl w:val="0"/>
          <w:numId w:val="1008"/>
        </w:numPr>
      </w:pPr>
      <w:r>
        <w:t xml:space="preserve">Monthly reconciliation is mandatory.</w:t>
      </w:r>
    </w:p>
    <w:p>
      <w:pPr>
        <w:pStyle w:val="Compact"/>
        <w:numPr>
          <w:ilvl w:val="0"/>
          <w:numId w:val="1008"/>
        </w:numPr>
      </w:pPr>
      <w:r>
        <w:t xml:space="preserve">Tolerance thresholds must align with NORA expectations.</w:t>
      </w:r>
    </w:p>
    <w:p>
      <w:pPr>
        <w:pStyle w:val="Compact"/>
        <w:numPr>
          <w:ilvl w:val="0"/>
          <w:numId w:val="1008"/>
        </w:numPr>
      </w:pPr>
      <w:r>
        <w:t xml:space="preserve">Conditional passes must be defensible to auditors.</w:t>
      </w:r>
    </w:p>
    <w:p>
      <w:r>
        <w:pict>
          <v:rect style="width:0;height:1.5pt" o:hralign="center" o:hrstd="t" o:hr="t"/>
        </w:pict>
      </w:r>
    </w:p>
    <w:bookmarkEnd w:id="37"/>
    <w:bookmarkStart w:id="38" w:name="reversibility"/>
    <w:p>
      <w:pPr>
        <w:pStyle w:val="Heading2"/>
      </w:pPr>
      <w:r>
        <w:t xml:space="preserve">7. Reversibility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Medium</w:t>
      </w:r>
      <w:r>
        <w:t xml:space="preserve">.</w:t>
      </w:r>
    </w:p>
    <w:p>
      <w:pPr>
        <w:pStyle w:val="FirstParagraph"/>
      </w:pPr>
      <w:r>
        <w:t xml:space="preserve">Tolerance values may evolve, but the existence of:</w:t>
      </w:r>
      <w:r>
        <w:t xml:space="preserve"> </w:t>
      </w:r>
      <w:r>
        <w:t xml:space="preserve">- reconciliation gates,</w:t>
      </w:r>
      <w:r>
        <w:t xml:space="preserve"> </w:t>
      </w:r>
      <w:r>
        <w:t xml:space="preserve">- explicit failure states,</w:t>
      </w:r>
      <w:r>
        <w:t xml:space="preserve"> </w:t>
      </w:r>
      <w:r>
        <w:t xml:space="preserve">- deterministic outcomes</w:t>
      </w:r>
    </w:p>
    <w:p>
      <w:pPr>
        <w:pStyle w:val="BodyText"/>
      </w:pPr>
      <w:r>
        <w:t xml:space="preserve">is foundational and not expected to change.</w:t>
      </w:r>
    </w:p>
    <w:p>
      <w:r>
        <w:pict>
          <v:rect style="width:0;height:1.5pt" o:hralign="center" o:hrstd="t" o:hr="t"/>
        </w:pict>
      </w:r>
    </w:p>
    <w:bookmarkEnd w:id="38"/>
    <w:bookmarkStart w:id="39" w:name="related-adrs"/>
    <w:p>
      <w:pPr>
        <w:pStyle w:val="Heading2"/>
      </w:pPr>
      <w:r>
        <w:t xml:space="preserve">8. Related ADRs</w:t>
      </w:r>
    </w:p>
    <w:p>
      <w:pPr>
        <w:pStyle w:val="Compact"/>
        <w:numPr>
          <w:ilvl w:val="0"/>
          <w:numId w:val="1010"/>
        </w:numPr>
      </w:pPr>
      <w:r>
        <w:t xml:space="preserve">ADR-000 — Product Identity &amp; Scope (e-Performance)</w:t>
      </w:r>
    </w:p>
    <w:p>
      <w:pPr>
        <w:pStyle w:val="Compact"/>
        <w:numPr>
          <w:ilvl w:val="0"/>
          <w:numId w:val="1010"/>
        </w:numPr>
      </w:pPr>
      <w:r>
        <w:t xml:space="preserve">ADR-001 — Energy as the Primary Claim Substrate</w:t>
      </w:r>
    </w:p>
    <w:p>
      <w:pPr>
        <w:pStyle w:val="Compact"/>
        <w:numPr>
          <w:ilvl w:val="0"/>
          <w:numId w:val="1010"/>
        </w:numPr>
      </w:pPr>
      <w:r>
        <w:t xml:space="preserve">ADR-002 — Two-Stream MRV Model</w:t>
      </w:r>
    </w:p>
    <w:p>
      <w:pPr>
        <w:pStyle w:val="Compact"/>
        <w:numPr>
          <w:ilvl w:val="0"/>
          <w:numId w:val="1010"/>
        </w:numPr>
      </w:pPr>
      <w:r>
        <w:t xml:space="preserve">ADR-004 — Claim Isolation &amp; Double-Counting Prevention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11"/>
        </w:numPr>
      </w:pPr>
      <w:r>
        <w:t xml:space="preserve">REDIII / RTFO (NORA) methodology and guidance</w:t>
      </w:r>
    </w:p>
    <w:p>
      <w:pPr>
        <w:pStyle w:val="Compact"/>
        <w:numPr>
          <w:ilvl w:val="0"/>
          <w:numId w:val="1011"/>
        </w:numPr>
      </w:pPr>
      <w:r>
        <w:t xml:space="preserve">e-Spark MRV &amp; Reconciliation specifications</w:t>
      </w:r>
    </w:p>
    <w:p>
      <w:pPr>
        <w:pStyle w:val="Compact"/>
        <w:numPr>
          <w:ilvl w:val="0"/>
          <w:numId w:val="1011"/>
        </w:numPr>
      </w:pPr>
      <w:r>
        <w:t xml:space="preserve">e-Spark CC Solution — Context Pack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2026-02-07T00:54:57Z</dcterms:created>
  <dcterms:modified xsi:type="dcterms:W3CDTF">2026-02-07T00:54:57Z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