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6db0743e86fa93a6d0d837b2e57b8b4d7d5b3f7"/>
    <w:p>
      <w:pPr>
        <w:pStyle w:val="Heading1"/>
      </w:pPr>
      <w:r>
        <w:t xml:space="preserve">ADR-004 — Claim Isolation &amp; Double-Counting Prevention</w:t>
      </w:r>
    </w:p>
    <w:bookmarkStart w:id="20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Accepted</w:t>
      </w:r>
    </w:p>
    <w:bookmarkEnd w:id="20"/>
    <w:bookmarkStart w:id="21" w:name="date"/>
    <w:p>
      <w:pPr>
        <w:pStyle w:val="Heading2"/>
      </w:pPr>
      <w:r>
        <w:t xml:space="preserve">Date</w:t>
      </w:r>
    </w:p>
    <w:p>
      <w:pPr>
        <w:pStyle w:val="FirstParagraph"/>
      </w:pPr>
      <w:r>
        <w:t xml:space="preserve">2026-02-06</w:t>
      </w:r>
    </w:p>
    <w:bookmarkEnd w:id="21"/>
    <w:bookmarkStart w:id="22" w:name="authors"/>
    <w:p>
      <w:pPr>
        <w:pStyle w:val="Heading2"/>
      </w:pPr>
      <w:r>
        <w:t xml:space="preserve">Authors</w:t>
      </w:r>
    </w:p>
    <w:p>
      <w:pPr>
        <w:pStyle w:val="Compact"/>
        <w:numPr>
          <w:ilvl w:val="0"/>
          <w:numId w:val="1001"/>
        </w:numPr>
      </w:pPr>
      <w:r>
        <w:t xml:space="preserve">e-Spark Product &amp; Architecture Team</w:t>
      </w:r>
    </w:p>
    <w:p>
      <w:r>
        <w:pict>
          <v:rect style="width:0;height:1.5pt" o:hralign="center" o:hrstd="t" o:hr="t"/>
        </w:pict>
      </w:r>
    </w:p>
    <w:bookmarkEnd w:id="22"/>
    <w:bookmarkStart w:id="23" w:name="context"/>
    <w:p>
      <w:pPr>
        <w:pStyle w:val="Heading2"/>
      </w:pPr>
      <w:r>
        <w:t xml:space="preserve">1. Context</w:t>
      </w:r>
    </w:p>
    <w:p>
      <w:pPr>
        <w:pStyle w:val="FirstParagraph"/>
      </w:pPr>
      <w:r>
        <w:t xml:space="preserve">The same unit of energy (kWh) may be eligible for different types of claims across regulatory and market regimes, including:</w:t>
      </w:r>
    </w:p>
    <w:p>
      <w:pPr>
        <w:pStyle w:val="Compact"/>
        <w:numPr>
          <w:ilvl w:val="0"/>
          <w:numId w:val="1002"/>
        </w:numPr>
      </w:pPr>
      <w:r>
        <w:t xml:space="preserve">REDIII / RTFO compliance claims</w:t>
      </w:r>
    </w:p>
    <w:p>
      <w:pPr>
        <w:pStyle w:val="Compact"/>
        <w:numPr>
          <w:ilvl w:val="0"/>
          <w:numId w:val="1002"/>
        </w:numPr>
      </w:pPr>
      <w:r>
        <w:t xml:space="preserve">Guarantees of Origin (GO)</w:t>
      </w:r>
    </w:p>
    <w:p>
      <w:pPr>
        <w:pStyle w:val="Compact"/>
        <w:numPr>
          <w:ilvl w:val="0"/>
          <w:numId w:val="1002"/>
        </w:numPr>
      </w:pPr>
      <w:r>
        <w:t xml:space="preserve">Voluntary carbon credit claims</w:t>
      </w:r>
    </w:p>
    <w:p>
      <w:pPr>
        <w:pStyle w:val="Compact"/>
        <w:numPr>
          <w:ilvl w:val="0"/>
          <w:numId w:val="1002"/>
        </w:numPr>
      </w:pPr>
      <w:r>
        <w:t xml:space="preserve">Future national or sectoral schemes</w:t>
      </w:r>
    </w:p>
    <w:p>
      <w:pPr>
        <w:pStyle w:val="FirstParagraph"/>
      </w:pPr>
      <w:r>
        <w:t xml:space="preserve">If not explicitly controlled, a single unit of energy could be:</w:t>
      </w:r>
      <w:r>
        <w:t xml:space="preserve"> </w:t>
      </w:r>
      <w:r>
        <w:t xml:space="preserve">- claimed under multiple regimes;</w:t>
      </w:r>
      <w:r>
        <w:t xml:space="preserve"> </w:t>
      </w:r>
      <w:r>
        <w:t xml:space="preserve">- monetised more than once;</w:t>
      </w:r>
      <w:r>
        <w:t xml:space="preserve"> </w:t>
      </w:r>
      <w:r>
        <w:t xml:space="preserve">- represented inconsistently across registries.</w:t>
      </w:r>
    </w:p>
    <w:p>
      <w:pPr>
        <w:pStyle w:val="BodyText"/>
      </w:pPr>
      <w:r>
        <w:t xml:space="preserve">This constitutes</w:t>
      </w:r>
      <w:r>
        <w:t xml:space="preserve"> </w:t>
      </w:r>
      <w:r>
        <w:rPr>
          <w:b/>
          <w:bCs/>
        </w:rPr>
        <w:t xml:space="preserve">double counting</w:t>
      </w:r>
      <w:r>
        <w:t xml:space="preserve">, which is explicitly prohibited by regulators, registries, and auditors, and represents a critical compliance and reputational risk.</w:t>
      </w:r>
    </w:p>
    <w:p>
      <w:pPr>
        <w:pStyle w:val="BodyText"/>
      </w:pPr>
      <w:r>
        <w:t xml:space="preserve">Because e-Performance is designed as a</w:t>
      </w:r>
      <w:r>
        <w:t xml:space="preserve"> </w:t>
      </w:r>
      <w:r>
        <w:rPr>
          <w:b/>
          <w:bCs/>
        </w:rPr>
        <w:t xml:space="preserve">claims orchestration layer</w:t>
      </w:r>
      <w:r>
        <w:t xml:space="preserve">, it must prevent double counting</w:t>
      </w:r>
      <w:r>
        <w:t xml:space="preserve"> </w:t>
      </w:r>
      <w:r>
        <w:rPr>
          <w:b/>
          <w:bCs/>
        </w:rPr>
        <w:t xml:space="preserve">by architecture</w:t>
      </w:r>
      <w:r>
        <w:t xml:space="preserve">, not by policy alone.</w:t>
      </w:r>
    </w:p>
    <w:p>
      <w:r>
        <w:pict>
          <v:rect style="width:0;height:1.5pt" o:hralign="center" o:hrstd="t" o:hr="t"/>
        </w:pict>
      </w:r>
    </w:p>
    <w:bookmarkEnd w:id="23"/>
    <w:bookmarkStart w:id="29" w:name="decision"/>
    <w:p>
      <w:pPr>
        <w:pStyle w:val="Heading2"/>
      </w:pPr>
      <w:r>
        <w:t xml:space="preserve">2. Decision</w:t>
      </w:r>
    </w:p>
    <w:bookmarkStart w:id="24" w:name="claim-isolation-principle"/>
    <w:p>
      <w:pPr>
        <w:pStyle w:val="Heading3"/>
      </w:pPr>
      <w:r>
        <w:t xml:space="preserve">2.1 Claim isolation principle</w:t>
      </w:r>
    </w:p>
    <w:p>
      <w:pPr>
        <w:pStyle w:val="FirstParagraph"/>
      </w:pPr>
      <w:r>
        <w:t xml:space="preserve">Each unit of verified energy within e-Performance</w:t>
      </w:r>
      <w:r>
        <w:t xml:space="preserve"> </w:t>
      </w:r>
      <w:r>
        <w:rPr>
          <w:b/>
          <w:bCs/>
        </w:rPr>
        <w:t xml:space="preserve">may be allocated to at most one active claim context</w:t>
      </w:r>
      <w:r>
        <w:t xml:space="preserve"> </w:t>
      </w:r>
      <w:r>
        <w:t xml:space="preserve">at any given time.</w:t>
      </w:r>
    </w:p>
    <w:p>
      <w:pPr>
        <w:pStyle w:val="BodyText"/>
      </w:pPr>
      <w:r>
        <w:t xml:space="preserve">A claim context is defined by:</w:t>
      </w:r>
      <w:r>
        <w:t xml:space="preserve"> </w:t>
      </w:r>
      <w:r>
        <w:t xml:space="preserve">- regime (e.g. REDIII, GO, Carbon);</w:t>
      </w:r>
      <w:r>
        <w:t xml:space="preserve"> </w:t>
      </w:r>
      <w:r>
        <w:t xml:space="preserve">- jurisdiction (e.g. IE, DE, EU);</w:t>
      </w:r>
      <w:r>
        <w:t xml:space="preserve"> </w:t>
      </w:r>
      <w:r>
        <w:t xml:space="preserve">- reporting period;</w:t>
      </w:r>
      <w:r>
        <w:t xml:space="preserve"> </w:t>
      </w:r>
      <w:r>
        <w:t xml:space="preserve">- claim purpose.</w:t>
      </w:r>
    </w:p>
    <w:p>
      <w:pPr>
        <w:pStyle w:val="BodyText"/>
      </w:pPr>
      <w:r>
        <w:t xml:space="preserve">Once energy is allocated to a claim context, it is</w:t>
      </w:r>
      <w:r>
        <w:t xml:space="preserve"> </w:t>
      </w:r>
      <w:r>
        <w:rPr>
          <w:b/>
          <w:bCs/>
        </w:rPr>
        <w:t xml:space="preserve">logically locked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energy-locking-model"/>
    <w:p>
      <w:pPr>
        <w:pStyle w:val="Heading3"/>
      </w:pPr>
      <w:r>
        <w:t xml:space="preserve">2.2 Energy locking model</w:t>
      </w:r>
    </w:p>
    <w:p>
      <w:pPr>
        <w:pStyle w:val="Compact"/>
        <w:numPr>
          <w:ilvl w:val="0"/>
          <w:numId w:val="1003"/>
        </w:numPr>
      </w:pPr>
      <w:r>
        <w:t xml:space="preserve">Energy is locked at the</w:t>
      </w:r>
      <w:r>
        <w:t xml:space="preserve"> </w:t>
      </w:r>
      <w:r>
        <w:rPr>
          <w:b/>
          <w:bCs/>
        </w:rPr>
        <w:t xml:space="preserve">reporting-period level</w:t>
      </w:r>
      <w:r>
        <w:t xml:space="preserve"> </w:t>
      </w:r>
      <w:r>
        <w:t xml:space="preserve">(e.g. monthly), not at raw ingestion.</w:t>
      </w:r>
    </w:p>
    <w:p>
      <w:pPr>
        <w:pStyle w:val="Compact"/>
        <w:numPr>
          <w:ilvl w:val="0"/>
          <w:numId w:val="1003"/>
        </w:numPr>
      </w:pPr>
      <w:r>
        <w:t xml:space="preserve">Locking occurs</w:t>
      </w:r>
      <w:r>
        <w:t xml:space="preserve"> </w:t>
      </w:r>
      <w:r>
        <w:rPr>
          <w:b/>
          <w:bCs/>
        </w:rPr>
        <w:t xml:space="preserve">after successful reconciliation</w:t>
      </w:r>
      <w:r>
        <w:t xml:space="preserve"> </w:t>
      </w:r>
      <w:r>
        <w:t xml:space="preserve">(ADR-003).</w:t>
      </w:r>
    </w:p>
    <w:p>
      <w:pPr>
        <w:pStyle w:val="Compact"/>
        <w:numPr>
          <w:ilvl w:val="0"/>
          <w:numId w:val="1003"/>
        </w:numPr>
      </w:pPr>
      <w:r>
        <w:t xml:space="preserve">Locked energy may not be reused by another claim context unless explicitly released.</w:t>
      </w:r>
    </w:p>
    <w:p>
      <w:pPr>
        <w:pStyle w:val="FirstParagraph"/>
      </w:pPr>
      <w:r>
        <w:t xml:space="preserve">Locking is enforced by the platform and cannot be bypassed by individual modules.</w:t>
      </w:r>
    </w:p>
    <w:p>
      <w:r>
        <w:pict>
          <v:rect style="width:0;height:1.5pt" o:hralign="center" o:hrstd="t" o:hr="t"/>
        </w:pict>
      </w:r>
    </w:p>
    <w:bookmarkEnd w:id="25"/>
    <w:bookmarkStart w:id="26" w:name="claim-lifecycle"/>
    <w:p>
      <w:pPr>
        <w:pStyle w:val="Heading3"/>
      </w:pPr>
      <w:r>
        <w:t xml:space="preserve">2.3 Claim lifecycle</w:t>
      </w:r>
    </w:p>
    <w:p>
      <w:pPr>
        <w:pStyle w:val="FirstParagraph"/>
      </w:pPr>
      <w:r>
        <w:t xml:space="preserve">Claims in e-Performance follow a defined lifecycle: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Eligible</w:t>
      </w:r>
      <w:r>
        <w:t xml:space="preserve"> </w:t>
      </w:r>
      <w:r>
        <w:t xml:space="preserve">— reconciled energy available, not yet allocated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Allocated</w:t>
      </w:r>
      <w:r>
        <w:t xml:space="preserve"> </w:t>
      </w:r>
      <w:r>
        <w:t xml:space="preserve">— energy assigned to a specific claim context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Issued / Submitted</w:t>
      </w:r>
      <w:r>
        <w:t xml:space="preserve"> </w:t>
      </w:r>
      <w:r>
        <w:t xml:space="preserve">— claim prepared for external registry or authority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Finalised</w:t>
      </w:r>
      <w:r>
        <w:t xml:space="preserve"> </w:t>
      </w:r>
      <w:r>
        <w:t xml:space="preserve">— claim accepted, retired, or otherwise closed</w:t>
      </w:r>
    </w:p>
    <w:p>
      <w:pPr>
        <w:pStyle w:val="FirstParagraph"/>
      </w:pPr>
      <w:r>
        <w:t xml:space="preserve">Energy remains locked from allocation through finalisation.</w:t>
      </w:r>
    </w:p>
    <w:p>
      <w:r>
        <w:pict>
          <v:rect style="width:0;height:1.5pt" o:hralign="center" o:hrstd="t" o:hr="t"/>
        </w:pict>
      </w:r>
    </w:p>
    <w:bookmarkEnd w:id="26"/>
    <w:bookmarkStart w:id="27" w:name="cross-regime-rules"/>
    <w:p>
      <w:pPr>
        <w:pStyle w:val="Heading3"/>
      </w:pPr>
      <w:r>
        <w:t xml:space="preserve">2.4 Cross-regime rules</w:t>
      </w:r>
    </w:p>
    <w:p>
      <w:pPr>
        <w:numPr>
          <w:ilvl w:val="0"/>
          <w:numId w:val="1005"/>
        </w:numPr>
      </w:pPr>
      <w:r>
        <w:t xml:space="preserve">Energy allocated to a</w:t>
      </w:r>
      <w:r>
        <w:t xml:space="preserve"> </w:t>
      </w:r>
      <w:r>
        <w:rPr>
          <w:b/>
          <w:bCs/>
        </w:rPr>
        <w:t xml:space="preserve">REDIII / RTFO</w:t>
      </w:r>
      <w:r>
        <w:t xml:space="preserve"> </w:t>
      </w:r>
      <w:r>
        <w:t xml:space="preserve">claim may not be reused for:</w:t>
      </w:r>
    </w:p>
    <w:p>
      <w:pPr>
        <w:pStyle w:val="Compact"/>
        <w:numPr>
          <w:ilvl w:val="1"/>
          <w:numId w:val="1006"/>
        </w:numPr>
      </w:pPr>
      <w:r>
        <w:t xml:space="preserve">voluntary carbon credits;</w:t>
      </w:r>
    </w:p>
    <w:p>
      <w:pPr>
        <w:pStyle w:val="Compact"/>
        <w:numPr>
          <w:ilvl w:val="1"/>
          <w:numId w:val="1006"/>
        </w:numPr>
      </w:pPr>
      <w:r>
        <w:t xml:space="preserve">Guarantees of Origin;</w:t>
      </w:r>
    </w:p>
    <w:p>
      <w:pPr>
        <w:pStyle w:val="Compact"/>
        <w:numPr>
          <w:ilvl w:val="1"/>
          <w:numId w:val="1006"/>
        </w:numPr>
      </w:pPr>
      <w:r>
        <w:t xml:space="preserve">other compliance schemes.</w:t>
      </w:r>
    </w:p>
    <w:p>
      <w:pPr>
        <w:numPr>
          <w:ilvl w:val="0"/>
          <w:numId w:val="1005"/>
        </w:numPr>
      </w:pPr>
      <w:r>
        <w:t xml:space="preserve">Energy allocated to</w:t>
      </w:r>
      <w:r>
        <w:t xml:space="preserve"> </w:t>
      </w:r>
      <w:r>
        <w:rPr>
          <w:b/>
          <w:bCs/>
        </w:rPr>
        <w:t xml:space="preserve">GO validation</w:t>
      </w:r>
      <w:r>
        <w:t xml:space="preserve"> </w:t>
      </w:r>
      <w:r>
        <w:t xml:space="preserve">may not be reused for REDIII or carbon claims unless explicitly permitted by regulation and supported by an ADR.</w:t>
      </w:r>
    </w:p>
    <w:p>
      <w:pPr>
        <w:numPr>
          <w:ilvl w:val="0"/>
          <w:numId w:val="1005"/>
        </w:numPr>
      </w:pPr>
      <w:r>
        <w:t xml:space="preserve">Any future exception requires:</w:t>
      </w:r>
    </w:p>
    <w:p>
      <w:pPr>
        <w:pStyle w:val="Compact"/>
        <w:numPr>
          <w:ilvl w:val="1"/>
          <w:numId w:val="1007"/>
        </w:numPr>
      </w:pPr>
      <w:r>
        <w:t xml:space="preserve">explicit regulatory allowance;</w:t>
      </w:r>
    </w:p>
    <w:p>
      <w:pPr>
        <w:pStyle w:val="Compact"/>
        <w:numPr>
          <w:ilvl w:val="1"/>
          <w:numId w:val="1007"/>
        </w:numPr>
      </w:pPr>
      <w:r>
        <w:t xml:space="preserve">a dedicated ADR documenting the rationale and safeguards.</w:t>
      </w:r>
    </w:p>
    <w:p>
      <w:r>
        <w:pict>
          <v:rect style="width:0;height:1.5pt" o:hralign="center" o:hrstd="t" o:hr="t"/>
        </w:pict>
      </w:r>
    </w:p>
    <w:bookmarkEnd w:id="27"/>
    <w:bookmarkStart w:id="28" w:name="auditability"/>
    <w:p>
      <w:pPr>
        <w:pStyle w:val="Heading3"/>
      </w:pPr>
      <w:r>
        <w:t xml:space="preserve">2.5 Auditability</w:t>
      </w:r>
    </w:p>
    <w:p>
      <w:pPr>
        <w:pStyle w:val="Compact"/>
        <w:numPr>
          <w:ilvl w:val="0"/>
          <w:numId w:val="1008"/>
        </w:numPr>
      </w:pPr>
      <w:r>
        <w:t xml:space="preserve">All allocations and locks are recorded as immutable events.</w:t>
      </w:r>
    </w:p>
    <w:p>
      <w:pPr>
        <w:pStyle w:val="Compact"/>
        <w:numPr>
          <w:ilvl w:val="0"/>
          <w:numId w:val="1008"/>
        </w:numPr>
      </w:pPr>
      <w:r>
        <w:t xml:space="preserve">Each claim references the specific energy volume and period it consumes.</w:t>
      </w:r>
    </w:p>
    <w:p>
      <w:pPr>
        <w:pStyle w:val="Compact"/>
        <w:numPr>
          <w:ilvl w:val="0"/>
          <w:numId w:val="1008"/>
        </w:numPr>
      </w:pPr>
      <w:r>
        <w:t xml:space="preserve">Audit trails must allow reconstruction of:</w:t>
      </w:r>
    </w:p>
    <w:p>
      <w:pPr>
        <w:pStyle w:val="Compact"/>
        <w:numPr>
          <w:ilvl w:val="1"/>
          <w:numId w:val="1009"/>
        </w:numPr>
      </w:pPr>
      <w:r>
        <w:t xml:space="preserve">which energy was used;</w:t>
      </w:r>
    </w:p>
    <w:p>
      <w:pPr>
        <w:pStyle w:val="Compact"/>
        <w:numPr>
          <w:ilvl w:val="1"/>
          <w:numId w:val="1009"/>
        </w:numPr>
      </w:pPr>
      <w:r>
        <w:t xml:space="preserve">for which claim;</w:t>
      </w:r>
    </w:p>
    <w:p>
      <w:pPr>
        <w:pStyle w:val="Compact"/>
        <w:numPr>
          <w:ilvl w:val="1"/>
          <w:numId w:val="1009"/>
        </w:numPr>
      </w:pPr>
      <w:r>
        <w:t xml:space="preserve">under which rules;</w:t>
      </w:r>
    </w:p>
    <w:p>
      <w:pPr>
        <w:pStyle w:val="Compact"/>
        <w:numPr>
          <w:ilvl w:val="1"/>
          <w:numId w:val="1009"/>
        </w:numPr>
      </w:pPr>
      <w:r>
        <w:t xml:space="preserve">at what time.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alternatives-considered"/>
    <w:p>
      <w:pPr>
        <w:pStyle w:val="Heading2"/>
      </w:pPr>
      <w:r>
        <w:t xml:space="preserve">3. Alternatives Considered</w:t>
      </w:r>
    </w:p>
    <w:bookmarkStart w:id="30" w:name="alternative-a-policy-only-prevention"/>
    <w:p>
      <w:pPr>
        <w:pStyle w:val="Heading3"/>
      </w:pPr>
      <w:r>
        <w:t xml:space="preserve">Alternative A — Policy-only prevention</w:t>
      </w:r>
    </w:p>
    <w:p>
      <w:pPr>
        <w:pStyle w:val="Compact"/>
        <w:numPr>
          <w:ilvl w:val="0"/>
          <w:numId w:val="1010"/>
        </w:numPr>
      </w:pPr>
      <w:r>
        <w:t xml:space="preserve">Rely on operational procedures and user discipline.</w:t>
      </w:r>
    </w:p>
    <w:p>
      <w:pPr>
        <w:pStyle w:val="FirstParagraph"/>
      </w:pPr>
      <w:r>
        <w:rPr>
          <w:b/>
          <w:bCs/>
        </w:rPr>
        <w:t xml:space="preserve">Rejected</w:t>
      </w:r>
      <w:r>
        <w:t xml:space="preserve"> </w:t>
      </w:r>
      <w:r>
        <w:t xml:space="preserve">because:</w:t>
      </w:r>
      <w:r>
        <w:t xml:space="preserve"> </w:t>
      </w:r>
      <w:r>
        <w:t xml:space="preserve">- it is error-prone;</w:t>
      </w:r>
      <w:r>
        <w:t xml:space="preserve"> </w:t>
      </w:r>
      <w:r>
        <w:t xml:space="preserve">- it does not scale;</w:t>
      </w:r>
      <w:r>
        <w:t xml:space="preserve"> </w:t>
      </w:r>
      <w:r>
        <w:t xml:space="preserve">- it fails regulatory expectations.</w:t>
      </w:r>
    </w:p>
    <w:p>
      <w:r>
        <w:pict>
          <v:rect style="width:0;height:1.5pt" o:hralign="center" o:hrstd="t" o:hr="t"/>
        </w:pict>
      </w:r>
    </w:p>
    <w:bookmarkEnd w:id="30"/>
    <w:bookmarkStart w:id="31" w:name="alternative-b-post-hoc-detection"/>
    <w:p>
      <w:pPr>
        <w:pStyle w:val="Heading3"/>
      </w:pPr>
      <w:r>
        <w:t xml:space="preserve">Alternative B — Post-hoc detection</w:t>
      </w:r>
    </w:p>
    <w:p>
      <w:pPr>
        <w:pStyle w:val="Compact"/>
        <w:numPr>
          <w:ilvl w:val="0"/>
          <w:numId w:val="1011"/>
        </w:numPr>
      </w:pPr>
      <w:r>
        <w:t xml:space="preserve">Allow claims freely and detect overlaps later.</w:t>
      </w:r>
    </w:p>
    <w:p>
      <w:pPr>
        <w:pStyle w:val="FirstParagraph"/>
      </w:pPr>
      <w:r>
        <w:rPr>
          <w:b/>
          <w:bCs/>
        </w:rPr>
        <w:t xml:space="preserve">Rejected</w:t>
      </w:r>
      <w:r>
        <w:t xml:space="preserve"> </w:t>
      </w:r>
      <w:r>
        <w:t xml:space="preserve">because:</w:t>
      </w:r>
      <w:r>
        <w:t xml:space="preserve"> </w:t>
      </w:r>
      <w:r>
        <w:t xml:space="preserve">- damage occurs before detection;</w:t>
      </w:r>
      <w:r>
        <w:t xml:space="preserve"> </w:t>
      </w:r>
      <w:r>
        <w:t xml:space="preserve">- remediation may be impossible;</w:t>
      </w:r>
      <w:r>
        <w:t xml:space="preserve"> </w:t>
      </w:r>
      <w:r>
        <w:t xml:space="preserve">- it undermines trust.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consequences"/>
    <w:p>
      <w:pPr>
        <w:pStyle w:val="Heading2"/>
      </w:pPr>
      <w:r>
        <w:t xml:space="preserve">4. Consequences</w:t>
      </w:r>
    </w:p>
    <w:bookmarkStart w:id="33" w:name="positive"/>
    <w:p>
      <w:pPr>
        <w:pStyle w:val="Heading3"/>
      </w:pPr>
      <w:r>
        <w:t xml:space="preserve">Positive</w:t>
      </w:r>
    </w:p>
    <w:p>
      <w:pPr>
        <w:pStyle w:val="Compact"/>
        <w:numPr>
          <w:ilvl w:val="0"/>
          <w:numId w:val="1012"/>
        </w:numPr>
      </w:pPr>
      <w:r>
        <w:t xml:space="preserve">Strong regulator and auditor confidence.</w:t>
      </w:r>
    </w:p>
    <w:p>
      <w:pPr>
        <w:pStyle w:val="Compact"/>
        <w:numPr>
          <w:ilvl w:val="0"/>
          <w:numId w:val="1012"/>
        </w:numPr>
      </w:pPr>
      <w:r>
        <w:t xml:space="preserve">Clear separation between regimes.</w:t>
      </w:r>
    </w:p>
    <w:p>
      <w:pPr>
        <w:pStyle w:val="Compact"/>
        <w:numPr>
          <w:ilvl w:val="0"/>
          <w:numId w:val="1012"/>
        </w:numPr>
      </w:pPr>
      <w:r>
        <w:t xml:space="preserve">Safe extensibility to future modules.</w:t>
      </w:r>
    </w:p>
    <w:p>
      <w:pPr>
        <w:pStyle w:val="Compact"/>
        <w:numPr>
          <w:ilvl w:val="0"/>
          <w:numId w:val="1012"/>
        </w:numPr>
      </w:pPr>
      <w:r>
        <w:t xml:space="preserve">Enables validator and verifier roles.</w:t>
      </w:r>
    </w:p>
    <w:bookmarkEnd w:id="33"/>
    <w:bookmarkStart w:id="34" w:name="trade-offs"/>
    <w:p>
      <w:pPr>
        <w:pStyle w:val="Heading3"/>
      </w:pPr>
      <w:r>
        <w:t xml:space="preserve">Trade-offs</w:t>
      </w:r>
    </w:p>
    <w:p>
      <w:pPr>
        <w:pStyle w:val="Compact"/>
        <w:numPr>
          <w:ilvl w:val="0"/>
          <w:numId w:val="1013"/>
        </w:numPr>
      </w:pPr>
      <w:r>
        <w:t xml:space="preserve">Reduced flexibility in monetisation strategies.</w:t>
      </w:r>
    </w:p>
    <w:p>
      <w:pPr>
        <w:pStyle w:val="Compact"/>
        <w:numPr>
          <w:ilvl w:val="0"/>
          <w:numId w:val="1013"/>
        </w:numPr>
      </w:pPr>
      <w:r>
        <w:t xml:space="preserve">Requires careful claim orchestration design.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implications-for-architecture-data-model"/>
    <w:p>
      <w:pPr>
        <w:pStyle w:val="Heading2"/>
      </w:pPr>
      <w:r>
        <w:t xml:space="preserve">5. Implications for Architecture &amp; Data Model</w:t>
      </w:r>
    </w:p>
    <w:p>
      <w:pPr>
        <w:pStyle w:val="Compact"/>
        <w:numPr>
          <w:ilvl w:val="0"/>
          <w:numId w:val="1014"/>
        </w:numPr>
      </w:pPr>
      <w:r>
        <w:t xml:space="preserve">Claim context is a first-class entity.</w:t>
      </w:r>
    </w:p>
    <w:p>
      <w:pPr>
        <w:pStyle w:val="Compact"/>
        <w:numPr>
          <w:ilvl w:val="0"/>
          <w:numId w:val="1014"/>
        </w:numPr>
      </w:pPr>
      <w:r>
        <w:t xml:space="preserve">Energy snapshots track allocation state.</w:t>
      </w:r>
    </w:p>
    <w:p>
      <w:pPr>
        <w:pStyle w:val="Compact"/>
        <w:numPr>
          <w:ilvl w:val="0"/>
          <w:numId w:val="1014"/>
        </w:numPr>
      </w:pPr>
      <w:r>
        <w:t xml:space="preserve">Platform enforces exclusive locks.</w:t>
      </w:r>
    </w:p>
    <w:p>
      <w:pPr>
        <w:pStyle w:val="Compact"/>
        <w:numPr>
          <w:ilvl w:val="0"/>
          <w:numId w:val="1014"/>
        </w:numPr>
      </w:pPr>
      <w:r>
        <w:t xml:space="preserve">Modules cannot override allocation rules.</w:t>
      </w:r>
    </w:p>
    <w:p>
      <w:r>
        <w:pict>
          <v:rect style="width:0;height:1.5pt" o:hralign="center" o:hrstd="t" o:hr="t"/>
        </w:pict>
      </w:r>
    </w:p>
    <w:bookmarkEnd w:id="36"/>
    <w:bookmarkStart w:id="37" w:name="implications-for-rediii-rtfo"/>
    <w:p>
      <w:pPr>
        <w:pStyle w:val="Heading2"/>
      </w:pPr>
      <w:r>
        <w:t xml:space="preserve">6. Implications for REDIII / RTFO</w:t>
      </w:r>
    </w:p>
    <w:p>
      <w:pPr>
        <w:pStyle w:val="Compact"/>
        <w:numPr>
          <w:ilvl w:val="0"/>
          <w:numId w:val="1015"/>
        </w:numPr>
      </w:pPr>
      <w:r>
        <w:t xml:space="preserve">Energy used for RTFO certificates is permanently locked for that period.</w:t>
      </w:r>
    </w:p>
    <w:p>
      <w:pPr>
        <w:pStyle w:val="Compact"/>
        <w:numPr>
          <w:ilvl w:val="0"/>
          <w:numId w:val="1015"/>
        </w:numPr>
      </w:pPr>
      <w:r>
        <w:t xml:space="preserve">Double claiming across schemes is structurally prevented.</w:t>
      </w:r>
    </w:p>
    <w:p>
      <w:pPr>
        <w:pStyle w:val="Compact"/>
        <w:numPr>
          <w:ilvl w:val="0"/>
          <w:numId w:val="1015"/>
        </w:numPr>
      </w:pPr>
      <w:r>
        <w:t xml:space="preserve">Audit evidence is deterministic and reproducible.</w:t>
      </w:r>
    </w:p>
    <w:p>
      <w:r>
        <w:pict>
          <v:rect style="width:0;height:1.5pt" o:hralign="center" o:hrstd="t" o:hr="t"/>
        </w:pict>
      </w:r>
    </w:p>
    <w:bookmarkEnd w:id="37"/>
    <w:bookmarkStart w:id="38" w:name="reversibility"/>
    <w:p>
      <w:pPr>
        <w:pStyle w:val="Heading2"/>
      </w:pPr>
      <w:r>
        <w:t xml:space="preserve">7. Reversibility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Very Low</w:t>
      </w:r>
      <w:r>
        <w:t xml:space="preserve">.</w:t>
      </w:r>
    </w:p>
    <w:p>
      <w:pPr>
        <w:pStyle w:val="FirstParagraph"/>
      </w:pPr>
      <w:r>
        <w:t xml:space="preserve">Relaxing claim isolation would:</w:t>
      </w:r>
      <w:r>
        <w:t xml:space="preserve"> </w:t>
      </w:r>
      <w:r>
        <w:t xml:space="preserve">- invalidate audit narratives;</w:t>
      </w:r>
      <w:r>
        <w:t xml:space="preserve"> </w:t>
      </w:r>
      <w:r>
        <w:t xml:space="preserve">- undermine compliance credibility;</w:t>
      </w:r>
      <w:r>
        <w:t xml:space="preserve"> </w:t>
      </w:r>
      <w:r>
        <w:t xml:space="preserve">- expose the platform to regulatory risk.</w:t>
      </w:r>
    </w:p>
    <w:p>
      <w:pPr>
        <w:pStyle w:val="BodyText"/>
      </w:pPr>
      <w:r>
        <w:t xml:space="preserve">This decision is intentionally strict.</w:t>
      </w:r>
    </w:p>
    <w:p>
      <w:r>
        <w:pict>
          <v:rect style="width:0;height:1.5pt" o:hralign="center" o:hrstd="t" o:hr="t"/>
        </w:pict>
      </w:r>
    </w:p>
    <w:bookmarkEnd w:id="38"/>
    <w:bookmarkStart w:id="39" w:name="related-adrs"/>
    <w:p>
      <w:pPr>
        <w:pStyle w:val="Heading2"/>
      </w:pPr>
      <w:r>
        <w:t xml:space="preserve">8. Related ADRs</w:t>
      </w:r>
    </w:p>
    <w:p>
      <w:pPr>
        <w:pStyle w:val="Compact"/>
        <w:numPr>
          <w:ilvl w:val="0"/>
          <w:numId w:val="1017"/>
        </w:numPr>
      </w:pPr>
      <w:r>
        <w:t xml:space="preserve">ADR-000 — Product Identity &amp; Scope (e-Performance)</w:t>
      </w:r>
    </w:p>
    <w:p>
      <w:pPr>
        <w:pStyle w:val="Compact"/>
        <w:numPr>
          <w:ilvl w:val="0"/>
          <w:numId w:val="1017"/>
        </w:numPr>
      </w:pPr>
      <w:r>
        <w:t xml:space="preserve">ADR-001 — Energy as the Primary Claim Substrate</w:t>
      </w:r>
    </w:p>
    <w:p>
      <w:pPr>
        <w:pStyle w:val="Compact"/>
        <w:numPr>
          <w:ilvl w:val="0"/>
          <w:numId w:val="1017"/>
        </w:numPr>
      </w:pPr>
      <w:r>
        <w:t xml:space="preserve">ADR-002 — Two-Stream MRV Model</w:t>
      </w:r>
    </w:p>
    <w:p>
      <w:pPr>
        <w:pStyle w:val="Compact"/>
        <w:numPr>
          <w:ilvl w:val="0"/>
          <w:numId w:val="1017"/>
        </w:numPr>
      </w:pPr>
      <w:r>
        <w:t xml:space="preserve">ADR-003 — Reconciliation, Tolerances &amp; Failure States</w:t>
      </w:r>
    </w:p>
    <w:p>
      <w:r>
        <w:pict>
          <v:rect style="width:0;height:1.5pt" o:hralign="center" o:hrstd="t" o:hr="t"/>
        </w:pict>
      </w:r>
    </w:p>
    <w:bookmarkEnd w:id="39"/>
    <w:bookmarkStart w:id="40" w:name="references"/>
    <w:p>
      <w:pPr>
        <w:pStyle w:val="Heading2"/>
      </w:pPr>
      <w:r>
        <w:t xml:space="preserve">9. References</w:t>
      </w:r>
    </w:p>
    <w:p>
      <w:pPr>
        <w:pStyle w:val="Compact"/>
        <w:numPr>
          <w:ilvl w:val="0"/>
          <w:numId w:val="1018"/>
        </w:numPr>
      </w:pPr>
      <w:r>
        <w:t xml:space="preserve">REDIII / RTFO (NORA) methodology and guidance</w:t>
      </w:r>
    </w:p>
    <w:p>
      <w:pPr>
        <w:pStyle w:val="Compact"/>
        <w:numPr>
          <w:ilvl w:val="0"/>
          <w:numId w:val="1018"/>
        </w:numPr>
      </w:pPr>
      <w:r>
        <w:t xml:space="preserve">e-Spark MRV &amp; Reconciliation specifications</w:t>
      </w:r>
    </w:p>
    <w:p>
      <w:pPr>
        <w:pStyle w:val="Compact"/>
        <w:numPr>
          <w:ilvl w:val="0"/>
          <w:numId w:val="1018"/>
        </w:numPr>
      </w:pPr>
      <w:r>
        <w:t xml:space="preserve">e-Spark CC Solution — Context Pack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2026-02-07T00:54:20Z</dcterms:created>
  <dcterms:modified xsi:type="dcterms:W3CDTF">2026-02-07T00:54:20Z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