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F41D1A" w14:textId="77777777" w:rsidR="0001657E" w:rsidRDefault="00B05B3E" w:rsidP="009A6965">
      <w:pPr>
        <w:spacing w:line="360" w:lineRule="auto"/>
        <w:jc w:val="center"/>
      </w:pPr>
      <w:r>
        <w:rPr>
          <w:rFonts w:hint="eastAsia"/>
        </w:rPr>
        <w:t>关于</w:t>
      </w:r>
      <w:r>
        <w:rPr>
          <w:rFonts w:hint="eastAsia"/>
        </w:rPr>
        <w:t>S2S</w:t>
      </w:r>
      <w:r>
        <w:rPr>
          <w:rFonts w:hint="eastAsia"/>
        </w:rPr>
        <w:t>技术调研情况的汇报</w:t>
      </w:r>
    </w:p>
    <w:p w14:paraId="0E4B289B" w14:textId="77777777" w:rsidR="0001657E" w:rsidRDefault="00B05B3E" w:rsidP="009A6965">
      <w:pPr>
        <w:spacing w:line="360" w:lineRule="auto"/>
        <w:jc w:val="center"/>
      </w:pPr>
      <w:r>
        <w:rPr>
          <w:rFonts w:hint="eastAsia"/>
        </w:rPr>
        <w:t>信息运维中心</w:t>
      </w:r>
    </w:p>
    <w:p w14:paraId="028D208A" w14:textId="77777777" w:rsidR="002F143B" w:rsidRDefault="002F143B" w:rsidP="009A6965">
      <w:pPr>
        <w:spacing w:line="360" w:lineRule="auto"/>
      </w:pPr>
    </w:p>
    <w:p w14:paraId="21609970" w14:textId="7496FEB7" w:rsidR="009D2503" w:rsidRDefault="002F143B" w:rsidP="009A6965">
      <w:pPr>
        <w:spacing w:line="360" w:lineRule="auto"/>
        <w:ind w:firstLine="420"/>
      </w:pPr>
      <w:r w:rsidRPr="002F143B">
        <w:rPr>
          <w:rFonts w:hint="eastAsia"/>
        </w:rPr>
        <w:t>为跟进</w:t>
      </w:r>
      <w:r w:rsidRPr="002F143B">
        <w:rPr>
          <w:rFonts w:hint="eastAsia"/>
        </w:rPr>
        <w:t>S2S</w:t>
      </w:r>
      <w:r w:rsidRPr="002F143B">
        <w:rPr>
          <w:rFonts w:hint="eastAsia"/>
        </w:rPr>
        <w:t>前沿技术动态与产业进展，</w:t>
      </w:r>
      <w:r>
        <w:rPr>
          <w:rFonts w:hint="eastAsia"/>
        </w:rPr>
        <w:t>信息运维中心</w:t>
      </w:r>
      <w:r w:rsidRPr="002F143B">
        <w:rPr>
          <w:rFonts w:hint="eastAsia"/>
        </w:rPr>
        <w:t>于</w:t>
      </w:r>
      <w:r w:rsidRPr="002F143B">
        <w:rPr>
          <w:rFonts w:hint="eastAsia"/>
        </w:rPr>
        <w:t>2026</w:t>
      </w:r>
      <w:r w:rsidRPr="002F143B">
        <w:rPr>
          <w:rFonts w:hint="eastAsia"/>
        </w:rPr>
        <w:t>年</w:t>
      </w:r>
      <w:r w:rsidRPr="002F143B">
        <w:rPr>
          <w:rFonts w:hint="eastAsia"/>
        </w:rPr>
        <w:t>4</w:t>
      </w:r>
      <w:r w:rsidRPr="002F143B">
        <w:rPr>
          <w:rFonts w:hint="eastAsia"/>
        </w:rPr>
        <w:t>月</w:t>
      </w:r>
      <w:r w:rsidRPr="002F143B">
        <w:rPr>
          <w:rFonts w:hint="eastAsia"/>
        </w:rPr>
        <w:t>8</w:t>
      </w:r>
      <w:r w:rsidRPr="002F143B">
        <w:rPr>
          <w:rFonts w:hint="eastAsia"/>
        </w:rPr>
        <w:t>日组织对科大讯飞</w:t>
      </w:r>
      <w:r>
        <w:rPr>
          <w:rFonts w:hint="eastAsia"/>
        </w:rPr>
        <w:t>、</w:t>
      </w:r>
      <w:r w:rsidRPr="002F143B">
        <w:rPr>
          <w:rFonts w:hint="eastAsia"/>
        </w:rPr>
        <w:t>百度</w:t>
      </w:r>
      <w:r>
        <w:rPr>
          <w:rFonts w:hint="eastAsia"/>
        </w:rPr>
        <w:t>及阿里</w:t>
      </w:r>
      <w:r w:rsidRPr="002F143B">
        <w:rPr>
          <w:rFonts w:hint="eastAsia"/>
        </w:rPr>
        <w:t>进行了专项调研。本次调研采用线上与现场交流结合的形式，旨在系统了解</w:t>
      </w:r>
      <w:r w:rsidR="009D2503">
        <w:rPr>
          <w:rFonts w:hint="eastAsia"/>
        </w:rPr>
        <w:t>三</w:t>
      </w:r>
      <w:r w:rsidRPr="002F143B">
        <w:rPr>
          <w:rFonts w:hint="eastAsia"/>
        </w:rPr>
        <w:t>家公司在</w:t>
      </w:r>
      <w:r w:rsidRPr="002F143B">
        <w:rPr>
          <w:rFonts w:hint="eastAsia"/>
        </w:rPr>
        <w:t>S2S</w:t>
      </w:r>
      <w:r w:rsidRPr="002F143B">
        <w:rPr>
          <w:rFonts w:hint="eastAsia"/>
        </w:rPr>
        <w:t>领域的技术研究现状、</w:t>
      </w:r>
      <w:r w:rsidR="009D2503">
        <w:rPr>
          <w:rFonts w:hint="eastAsia"/>
        </w:rPr>
        <w:t>技术方案对比</w:t>
      </w:r>
      <w:r w:rsidRPr="002F143B">
        <w:rPr>
          <w:rFonts w:hint="eastAsia"/>
        </w:rPr>
        <w:t>、系统部署要求及实际落地场景。具体调研成果详述如下。</w:t>
      </w:r>
    </w:p>
    <w:p w14:paraId="24B913B5" w14:textId="6DF130EC" w:rsidR="009D2503" w:rsidRPr="009D2503" w:rsidRDefault="009A6965" w:rsidP="009A6965">
      <w:pPr>
        <w:spacing w:line="360" w:lineRule="auto"/>
        <w:rPr>
          <w:rFonts w:hint="eastAsia"/>
        </w:rPr>
      </w:pPr>
      <w:r>
        <w:rPr>
          <w:rFonts w:hint="eastAsia"/>
        </w:rPr>
        <w:t>一、技术研究现状</w:t>
      </w:r>
    </w:p>
    <w:p w14:paraId="01857183" w14:textId="77777777" w:rsidR="009A6965" w:rsidRDefault="009A6965" w:rsidP="009A6965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本次调研显示，三家公司均已在</w:t>
      </w:r>
      <w:r>
        <w:rPr>
          <w:rFonts w:hint="eastAsia"/>
        </w:rPr>
        <w:t>S2S</w:t>
      </w:r>
      <w:r>
        <w:rPr>
          <w:rFonts w:hint="eastAsia"/>
        </w:rPr>
        <w:t>（语音转语音）领域完成了技术布局，但技术路径与成熟度存在差异。核心对比如下：</w:t>
      </w:r>
    </w:p>
    <w:p w14:paraId="77606762" w14:textId="5F4C55B7" w:rsidR="009A6965" w:rsidRDefault="009A6965" w:rsidP="009A6965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百度：采用端到端的跨模态大模型技术路线。其模型以语音为直接输入，经过内部的统一表征与生成，直接输出目标语音，跳过了传统的中间文本环节。该方案旨在实现更低的延时和更自然的对话交互，代表了当前的主流研究方向。</w:t>
      </w:r>
    </w:p>
    <w:p w14:paraId="486B0EAB" w14:textId="0D88F28C" w:rsidR="009A6965" w:rsidRDefault="009A6965" w:rsidP="009A6965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科大讯飞：提供了两种并行的技术方案，体现了从传统工程化方案向先进端到端方案的过渡。</w:t>
      </w:r>
    </w:p>
    <w:p w14:paraId="4E1E8312" w14:textId="77777777" w:rsidR="009A6965" w:rsidRDefault="009A6965" w:rsidP="009A6965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方案一（当前主推）：为成熟的级联式系统。其技术本质是“</w:t>
      </w:r>
      <w:r>
        <w:rPr>
          <w:rFonts w:hint="eastAsia"/>
        </w:rPr>
        <w:t>ASR</w:t>
      </w:r>
      <w:r>
        <w:rPr>
          <w:rFonts w:hint="eastAsia"/>
        </w:rPr>
        <w:t>（语音识别）→</w:t>
      </w:r>
      <w:r>
        <w:rPr>
          <w:rFonts w:hint="eastAsia"/>
        </w:rPr>
        <w:t xml:space="preserve"> NLU/NLG</w:t>
      </w:r>
      <w:r>
        <w:rPr>
          <w:rFonts w:hint="eastAsia"/>
        </w:rPr>
        <w:t>（文本理解</w:t>
      </w:r>
      <w:r>
        <w:rPr>
          <w:rFonts w:hint="eastAsia"/>
        </w:rPr>
        <w:t>/</w:t>
      </w:r>
      <w:r>
        <w:rPr>
          <w:rFonts w:hint="eastAsia"/>
        </w:rPr>
        <w:t>生成）→</w:t>
      </w:r>
      <w:r>
        <w:rPr>
          <w:rFonts w:hint="eastAsia"/>
        </w:rPr>
        <w:t xml:space="preserve"> TTS</w:t>
      </w:r>
      <w:r>
        <w:rPr>
          <w:rFonts w:hint="eastAsia"/>
        </w:rPr>
        <w:t>（语音合成）”多个模块的深度封装与高效协同。该方案并非真正端到端，但通过工程优化，对外提供了无缝的</w:t>
      </w:r>
      <w:r>
        <w:rPr>
          <w:rFonts w:hint="eastAsia"/>
        </w:rPr>
        <w:t>S2S</w:t>
      </w:r>
      <w:r>
        <w:rPr>
          <w:rFonts w:hint="eastAsia"/>
        </w:rPr>
        <w:t>交互体验，具有稳定性高、可控性强的优势。</w:t>
      </w:r>
    </w:p>
    <w:p w14:paraId="03973849" w14:textId="0CDBCB8E" w:rsidR="009A6965" w:rsidRDefault="009A6965" w:rsidP="009A6965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方案二：为真正的端到端</w:t>
      </w:r>
      <w:r w:rsidR="00B05B3E">
        <w:rPr>
          <w:rFonts w:hint="eastAsia"/>
        </w:rPr>
        <w:t>跨模态</w:t>
      </w:r>
      <w:r>
        <w:rPr>
          <w:rFonts w:hint="eastAsia"/>
        </w:rPr>
        <w:t>模型。该方案类似于百度的技术路径，旨在构建语音到语音的直接映射模型，以进一步优化响应速度和语音交互的自然度。</w:t>
      </w:r>
    </w:p>
    <w:p w14:paraId="24AAE24D" w14:textId="75DFD175" w:rsidR="009A6965" w:rsidRDefault="009A6965" w:rsidP="009A6965">
      <w:pPr>
        <w:spacing w:line="360" w:lineRule="auto"/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阿里：同样</w:t>
      </w:r>
      <w:r w:rsidR="00B05B3E">
        <w:rPr>
          <w:rFonts w:hint="eastAsia"/>
        </w:rPr>
        <w:t>为</w:t>
      </w:r>
      <w:r>
        <w:rPr>
          <w:rFonts w:hint="eastAsia"/>
        </w:rPr>
        <w:t>端到端的跨模态大模型。其模型架构也支持语音直接到语音的生成，强调在统一模型内完成语义理解与语音生成的联合优化，是其在通用大模型能力向语音交互场景延伸的重要实践。</w:t>
      </w:r>
      <w:r w:rsidR="00B05B3E">
        <w:rPr>
          <w:rFonts w:hint="eastAsia"/>
        </w:rPr>
        <w:t>与前两家不同的是阿里只提供模型能力，需采用</w:t>
      </w:r>
      <w:r w:rsidR="00B05B3E">
        <w:rPr>
          <w:rFonts w:hint="eastAsia"/>
        </w:rPr>
        <w:t>API</w:t>
      </w:r>
      <w:r w:rsidR="00B05B3E">
        <w:rPr>
          <w:rFonts w:hint="eastAsia"/>
        </w:rPr>
        <w:t>的形式调用服务。</w:t>
      </w:r>
    </w:p>
    <w:p w14:paraId="07324628" w14:textId="2C35BD46" w:rsidR="0001657E" w:rsidRDefault="00B05B3E" w:rsidP="005A24DA">
      <w:pPr>
        <w:spacing w:line="360" w:lineRule="auto"/>
      </w:pPr>
      <w:r>
        <w:rPr>
          <w:rFonts w:hint="eastAsia"/>
        </w:rPr>
        <w:t>二</w:t>
      </w:r>
      <w:r>
        <w:rPr>
          <w:rFonts w:hint="eastAsia"/>
        </w:rPr>
        <w:t>、两种技术方案对比</w:t>
      </w:r>
    </w:p>
    <w:p w14:paraId="2AF828A2" w14:textId="77777777" w:rsidR="005A24DA" w:rsidRDefault="005A24DA" w:rsidP="009A6965">
      <w:pPr>
        <w:spacing w:line="360" w:lineRule="auto"/>
      </w:pPr>
      <w:r w:rsidRPr="005A24DA">
        <w:rPr>
          <w:rFonts w:hint="eastAsia"/>
        </w:rPr>
        <w:t>当前</w:t>
      </w:r>
      <w:r w:rsidRPr="005A24DA">
        <w:rPr>
          <w:rFonts w:hint="eastAsia"/>
        </w:rPr>
        <w:t>S2S</w:t>
      </w:r>
      <w:r w:rsidRPr="005A24DA">
        <w:rPr>
          <w:rFonts w:hint="eastAsia"/>
        </w:rPr>
        <w:t>主要存在两种技术路径，其核心差异如下：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A24DA" w14:paraId="0085A4C9" w14:textId="77777777" w:rsidTr="005A24DA">
        <w:trPr>
          <w:jc w:val="center"/>
        </w:trPr>
        <w:tc>
          <w:tcPr>
            <w:tcW w:w="2840" w:type="dxa"/>
            <w:vAlign w:val="center"/>
          </w:tcPr>
          <w:p w14:paraId="7C5EC58E" w14:textId="77777777" w:rsidR="005A24DA" w:rsidRDefault="005A24DA" w:rsidP="005A24DA">
            <w:pPr>
              <w:spacing w:line="360" w:lineRule="auto"/>
              <w:jc w:val="center"/>
            </w:pPr>
          </w:p>
        </w:tc>
        <w:tc>
          <w:tcPr>
            <w:tcW w:w="2841" w:type="dxa"/>
            <w:vAlign w:val="center"/>
          </w:tcPr>
          <w:p w14:paraId="5ACDD3B1" w14:textId="1B04CA85" w:rsidR="005A24DA" w:rsidRDefault="005A24DA" w:rsidP="005A24D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传统方式</w:t>
            </w:r>
          </w:p>
        </w:tc>
        <w:tc>
          <w:tcPr>
            <w:tcW w:w="2841" w:type="dxa"/>
            <w:vAlign w:val="center"/>
          </w:tcPr>
          <w:p w14:paraId="253F17ED" w14:textId="177FC63A" w:rsidR="005A24DA" w:rsidRDefault="005A24DA" w:rsidP="005A24DA">
            <w:pPr>
              <w:spacing w:line="360" w:lineRule="auto"/>
              <w:jc w:val="center"/>
            </w:pPr>
            <w:r>
              <w:rPr>
                <w:rFonts w:hint="eastAsia"/>
              </w:rPr>
              <w:t>端到端（跨模态模型）</w:t>
            </w:r>
          </w:p>
        </w:tc>
      </w:tr>
      <w:tr w:rsidR="005A24DA" w14:paraId="7B9FC88F" w14:textId="77777777" w:rsidTr="005A24DA">
        <w:trPr>
          <w:jc w:val="center"/>
        </w:trPr>
        <w:tc>
          <w:tcPr>
            <w:tcW w:w="2840" w:type="dxa"/>
            <w:vMerge w:val="restart"/>
            <w:vAlign w:val="center"/>
          </w:tcPr>
          <w:p w14:paraId="220F63A6" w14:textId="35C83AFB" w:rsidR="005A24DA" w:rsidRDefault="005A24DA" w:rsidP="005A24DA">
            <w:pPr>
              <w:spacing w:line="360" w:lineRule="auto"/>
              <w:jc w:val="center"/>
            </w:pPr>
            <w:r>
              <w:rPr>
                <w:rFonts w:hint="eastAsia"/>
              </w:rPr>
              <w:t>优点</w:t>
            </w:r>
          </w:p>
        </w:tc>
        <w:tc>
          <w:tcPr>
            <w:tcW w:w="2841" w:type="dxa"/>
            <w:vAlign w:val="center"/>
          </w:tcPr>
          <w:p w14:paraId="436EACB9" w14:textId="0316E83F" w:rsidR="005A24DA" w:rsidRDefault="003A67E9" w:rsidP="003A67E9">
            <w:pPr>
              <w:spacing w:line="360" w:lineRule="auto"/>
              <w:jc w:val="left"/>
            </w:pPr>
            <w:r>
              <w:rPr>
                <w:rFonts w:hint="eastAsia"/>
              </w:rPr>
              <w:t>成熟稳定，各模块经过长期验证，可靠性高</w:t>
            </w:r>
          </w:p>
        </w:tc>
        <w:tc>
          <w:tcPr>
            <w:tcW w:w="2841" w:type="dxa"/>
            <w:vAlign w:val="center"/>
          </w:tcPr>
          <w:p w14:paraId="07E51D40" w14:textId="1B7AB03B" w:rsidR="005A24DA" w:rsidRDefault="00A90366" w:rsidP="003A67E9">
            <w:pPr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性能先进，可避免误差累计</w:t>
            </w:r>
          </w:p>
        </w:tc>
      </w:tr>
      <w:tr w:rsidR="005A24DA" w14:paraId="32E90F76" w14:textId="77777777" w:rsidTr="005A24DA">
        <w:trPr>
          <w:jc w:val="center"/>
        </w:trPr>
        <w:tc>
          <w:tcPr>
            <w:tcW w:w="2840" w:type="dxa"/>
            <w:vMerge/>
            <w:vAlign w:val="center"/>
          </w:tcPr>
          <w:p w14:paraId="3BDE0B83" w14:textId="77777777" w:rsidR="005A24DA" w:rsidRDefault="005A24DA" w:rsidP="005A24DA">
            <w:pPr>
              <w:spacing w:line="360" w:lineRule="auto"/>
              <w:jc w:val="center"/>
            </w:pPr>
          </w:p>
        </w:tc>
        <w:tc>
          <w:tcPr>
            <w:tcW w:w="2841" w:type="dxa"/>
            <w:vAlign w:val="center"/>
          </w:tcPr>
          <w:p w14:paraId="506C7A47" w14:textId="512BA64E" w:rsidR="005A24DA" w:rsidRDefault="003A67E9" w:rsidP="003A67E9">
            <w:pPr>
              <w:spacing w:line="360" w:lineRule="auto"/>
              <w:jc w:val="left"/>
            </w:pPr>
            <w:r>
              <w:rPr>
                <w:rFonts w:hint="eastAsia"/>
              </w:rPr>
              <w:t>灵活可控，可独立优化或更换单一模块</w:t>
            </w:r>
          </w:p>
        </w:tc>
        <w:tc>
          <w:tcPr>
            <w:tcW w:w="2841" w:type="dxa"/>
            <w:vAlign w:val="center"/>
          </w:tcPr>
          <w:p w14:paraId="6C9BDFE4" w14:textId="00C9BF04" w:rsidR="005A24DA" w:rsidRDefault="00A90366" w:rsidP="003A67E9">
            <w:pPr>
              <w:spacing w:line="360" w:lineRule="auto"/>
              <w:jc w:val="left"/>
            </w:pPr>
            <w:r>
              <w:rPr>
                <w:rFonts w:hint="eastAsia"/>
              </w:rPr>
              <w:t>效率更高，单一模型通常具有更低的推理延迟，交互更实时、流畅。</w:t>
            </w:r>
          </w:p>
        </w:tc>
      </w:tr>
      <w:tr w:rsidR="005A24DA" w14:paraId="7A2D2CE1" w14:textId="77777777" w:rsidTr="005A24DA">
        <w:trPr>
          <w:jc w:val="center"/>
        </w:trPr>
        <w:tc>
          <w:tcPr>
            <w:tcW w:w="2840" w:type="dxa"/>
            <w:vMerge/>
            <w:vAlign w:val="center"/>
          </w:tcPr>
          <w:p w14:paraId="3202EF6B" w14:textId="77777777" w:rsidR="005A24DA" w:rsidRDefault="005A24DA" w:rsidP="005A24DA">
            <w:pPr>
              <w:spacing w:line="360" w:lineRule="auto"/>
              <w:jc w:val="center"/>
            </w:pPr>
          </w:p>
        </w:tc>
        <w:tc>
          <w:tcPr>
            <w:tcW w:w="2841" w:type="dxa"/>
            <w:vAlign w:val="center"/>
          </w:tcPr>
          <w:p w14:paraId="35A7B5A3" w14:textId="2F86A50D" w:rsidR="003A67E9" w:rsidRDefault="003A67E9" w:rsidP="003A67E9">
            <w:pPr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过程透明，中间生成文本，结果可追溯、可审核、可解释</w:t>
            </w:r>
          </w:p>
        </w:tc>
        <w:tc>
          <w:tcPr>
            <w:tcW w:w="2841" w:type="dxa"/>
            <w:vAlign w:val="center"/>
          </w:tcPr>
          <w:p w14:paraId="7DEFF8EA" w14:textId="5773860C" w:rsidR="005A24DA" w:rsidRDefault="00A90366" w:rsidP="003A67E9">
            <w:pPr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适合复杂映射，更易于学习并生成非严格逐字对应的语音回复</w:t>
            </w:r>
          </w:p>
        </w:tc>
      </w:tr>
      <w:tr w:rsidR="005A24DA" w14:paraId="0F9750C2" w14:textId="77777777" w:rsidTr="005A24DA">
        <w:trPr>
          <w:jc w:val="center"/>
        </w:trPr>
        <w:tc>
          <w:tcPr>
            <w:tcW w:w="2840" w:type="dxa"/>
            <w:vMerge w:val="restart"/>
            <w:vAlign w:val="center"/>
          </w:tcPr>
          <w:p w14:paraId="321FA7F4" w14:textId="6FD595F5" w:rsidR="005A24DA" w:rsidRDefault="005A24DA" w:rsidP="005A24DA">
            <w:pPr>
              <w:spacing w:line="360" w:lineRule="auto"/>
              <w:jc w:val="center"/>
            </w:pPr>
            <w:r>
              <w:rPr>
                <w:rFonts w:hint="eastAsia"/>
              </w:rPr>
              <w:t>缺点</w:t>
            </w:r>
          </w:p>
        </w:tc>
        <w:tc>
          <w:tcPr>
            <w:tcW w:w="2841" w:type="dxa"/>
            <w:vAlign w:val="center"/>
          </w:tcPr>
          <w:p w14:paraId="037B0AFE" w14:textId="0FFD67DE" w:rsidR="005A24DA" w:rsidRDefault="003A67E9" w:rsidP="003A67E9">
            <w:pPr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存在误差累计，上游模块（如</w:t>
            </w:r>
            <w:r>
              <w:rPr>
                <w:rFonts w:hint="eastAsia"/>
              </w:rPr>
              <w:t>ASR</w:t>
            </w:r>
            <w:r>
              <w:rPr>
                <w:rFonts w:hint="eastAsia"/>
              </w:rPr>
              <w:t>）的错误会直接传导并影戏最终结果</w:t>
            </w:r>
          </w:p>
        </w:tc>
        <w:tc>
          <w:tcPr>
            <w:tcW w:w="2841" w:type="dxa"/>
            <w:vAlign w:val="center"/>
          </w:tcPr>
          <w:p w14:paraId="22617377" w14:textId="2DC9719F" w:rsidR="005A24DA" w:rsidRDefault="00A90366" w:rsidP="003A67E9">
            <w:pPr>
              <w:spacing w:line="360" w:lineRule="auto"/>
              <w:jc w:val="left"/>
            </w:pPr>
            <w:r>
              <w:rPr>
                <w:rFonts w:hint="eastAsia"/>
              </w:rPr>
              <w:t>黑盒模型，内部决策过程不透明，结果难以追溯和干预</w:t>
            </w:r>
          </w:p>
        </w:tc>
      </w:tr>
      <w:tr w:rsidR="005A24DA" w14:paraId="61D9FBA2" w14:textId="77777777" w:rsidTr="005A24DA">
        <w:trPr>
          <w:jc w:val="center"/>
        </w:trPr>
        <w:tc>
          <w:tcPr>
            <w:tcW w:w="2840" w:type="dxa"/>
            <w:vMerge/>
            <w:vAlign w:val="center"/>
          </w:tcPr>
          <w:p w14:paraId="3B01E29E" w14:textId="77777777" w:rsidR="005A24DA" w:rsidRDefault="005A24DA" w:rsidP="005A24DA">
            <w:pPr>
              <w:spacing w:line="360" w:lineRule="auto"/>
              <w:jc w:val="center"/>
            </w:pPr>
          </w:p>
        </w:tc>
        <w:tc>
          <w:tcPr>
            <w:tcW w:w="2841" w:type="dxa"/>
            <w:vAlign w:val="center"/>
          </w:tcPr>
          <w:p w14:paraId="525F8D75" w14:textId="5E65B6FC" w:rsidR="005A24DA" w:rsidRPr="003A67E9" w:rsidRDefault="003A67E9" w:rsidP="003A67E9">
            <w:pPr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系统延时较长</w:t>
            </w:r>
          </w:p>
        </w:tc>
        <w:tc>
          <w:tcPr>
            <w:tcW w:w="2841" w:type="dxa"/>
            <w:vAlign w:val="center"/>
          </w:tcPr>
          <w:p w14:paraId="36C294FA" w14:textId="4D1FA364" w:rsidR="005A24DA" w:rsidRDefault="00A90366" w:rsidP="003A67E9">
            <w:pPr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数据与算力需求大，需要大规模、高质量的语音对数据进行训练</w:t>
            </w:r>
          </w:p>
        </w:tc>
      </w:tr>
      <w:tr w:rsidR="005A24DA" w14:paraId="5D76456C" w14:textId="77777777" w:rsidTr="005A24DA">
        <w:trPr>
          <w:jc w:val="center"/>
        </w:trPr>
        <w:tc>
          <w:tcPr>
            <w:tcW w:w="2840" w:type="dxa"/>
            <w:vMerge/>
            <w:vAlign w:val="center"/>
          </w:tcPr>
          <w:p w14:paraId="02975444" w14:textId="77777777" w:rsidR="005A24DA" w:rsidRDefault="005A24DA" w:rsidP="005A24DA">
            <w:pPr>
              <w:spacing w:line="360" w:lineRule="auto"/>
              <w:jc w:val="center"/>
            </w:pPr>
          </w:p>
        </w:tc>
        <w:tc>
          <w:tcPr>
            <w:tcW w:w="2841" w:type="dxa"/>
            <w:vAlign w:val="center"/>
          </w:tcPr>
          <w:p w14:paraId="02886316" w14:textId="10646360" w:rsidR="005A24DA" w:rsidRDefault="003A67E9" w:rsidP="003A67E9">
            <w:pPr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信息损失，中间的文本会丢失语音中的</w:t>
            </w:r>
            <w:r w:rsidR="00A90366">
              <w:rPr>
                <w:rFonts w:hint="eastAsia"/>
              </w:rPr>
              <w:t>情感、语调等。</w:t>
            </w:r>
          </w:p>
        </w:tc>
        <w:tc>
          <w:tcPr>
            <w:tcW w:w="2841" w:type="dxa"/>
            <w:vAlign w:val="center"/>
          </w:tcPr>
          <w:p w14:paraId="454E072E" w14:textId="2364CF86" w:rsidR="005A24DA" w:rsidRDefault="00A90366" w:rsidP="003A67E9">
            <w:pPr>
              <w:spacing w:line="360" w:lineRule="auto"/>
              <w:jc w:val="left"/>
            </w:pPr>
            <w:r>
              <w:rPr>
                <w:rFonts w:hint="eastAsia"/>
              </w:rPr>
              <w:t>在复杂场景下可能出现不可预测的生成错误，可控性较差</w:t>
            </w:r>
          </w:p>
        </w:tc>
      </w:tr>
    </w:tbl>
    <w:p w14:paraId="44EB9E29" w14:textId="77777777" w:rsidR="005A24DA" w:rsidRDefault="005A24DA" w:rsidP="009A6965">
      <w:pPr>
        <w:spacing w:line="360" w:lineRule="auto"/>
      </w:pPr>
    </w:p>
    <w:p w14:paraId="293FA3AA" w14:textId="2468D734" w:rsidR="0001657E" w:rsidRPr="00B05B3E" w:rsidRDefault="00B05B3E" w:rsidP="009A6965">
      <w:pPr>
        <w:spacing w:line="360" w:lineRule="auto"/>
        <w:rPr>
          <w:highlight w:val="yellow"/>
        </w:rPr>
      </w:pPr>
      <w:r w:rsidRPr="00B05B3E">
        <w:rPr>
          <w:rFonts w:hint="eastAsia"/>
          <w:highlight w:val="yellow"/>
        </w:rPr>
        <w:t>三、系统部署</w:t>
      </w:r>
      <w:r w:rsidR="00337B74" w:rsidRPr="00B05B3E">
        <w:rPr>
          <w:rFonts w:hint="eastAsia"/>
          <w:highlight w:val="yellow"/>
        </w:rPr>
        <w:t>要求（待补充）</w:t>
      </w:r>
    </w:p>
    <w:p w14:paraId="62C27A73" w14:textId="77777777" w:rsidR="0001657E" w:rsidRDefault="00B05B3E" w:rsidP="009A6965">
      <w:pPr>
        <w:spacing w:line="360" w:lineRule="auto"/>
      </w:pPr>
      <w:r w:rsidRPr="00B05B3E">
        <w:rPr>
          <w:rFonts w:hint="eastAsia"/>
          <w:highlight w:val="yellow"/>
        </w:rPr>
        <w:t>算力，模型上</w:t>
      </w:r>
    </w:p>
    <w:p w14:paraId="5CF1CF83" w14:textId="77777777" w:rsidR="00337B74" w:rsidRDefault="00B05B3E" w:rsidP="00337B74">
      <w:pPr>
        <w:pStyle w:val="a4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落地应用场景</w:t>
      </w:r>
    </w:p>
    <w:p w14:paraId="1ECFCECF" w14:textId="7CD14F12" w:rsidR="00337B74" w:rsidRDefault="00337B74" w:rsidP="00C547C7">
      <w:pPr>
        <w:spacing w:line="360" w:lineRule="auto"/>
        <w:ind w:firstLine="420"/>
      </w:pPr>
      <w:r w:rsidRPr="00337B74">
        <w:rPr>
          <w:rFonts w:hint="eastAsia"/>
        </w:rPr>
        <w:t>S2S</w:t>
      </w:r>
      <w:r w:rsidRPr="00337B74">
        <w:rPr>
          <w:rFonts w:hint="eastAsia"/>
        </w:rPr>
        <w:t>技术的整体商用化仍处于早期阶段。目前，实现商用的主要是基于“级联式”方案的封装产品（例如</w:t>
      </w:r>
      <w:r>
        <w:rPr>
          <w:rFonts w:hint="eastAsia"/>
        </w:rPr>
        <w:t>讯飞</w:t>
      </w:r>
      <w:r w:rsidRPr="00337B74">
        <w:rPr>
          <w:rFonts w:hint="eastAsia"/>
        </w:rPr>
        <w:t>应用于翻译笔等特定硬件）。在</w:t>
      </w:r>
      <w:r>
        <w:rPr>
          <w:rFonts w:hint="eastAsia"/>
        </w:rPr>
        <w:t>智能</w:t>
      </w:r>
      <w:r w:rsidRPr="00337B74">
        <w:rPr>
          <w:rFonts w:hint="eastAsia"/>
        </w:rPr>
        <w:t>客服这类复杂场景中，</w:t>
      </w:r>
      <w:r w:rsidR="00C547C7" w:rsidRPr="00337B74">
        <w:rPr>
          <w:rFonts w:hint="eastAsia"/>
        </w:rPr>
        <w:t>纯粹的端到端模型</w:t>
      </w:r>
      <w:r w:rsidRPr="00337B74">
        <w:rPr>
          <w:rFonts w:hint="eastAsia"/>
        </w:rPr>
        <w:t>短期内难以实现规模化商用落地。</w:t>
      </w:r>
    </w:p>
    <w:p w14:paraId="7EC97D24" w14:textId="37A79131" w:rsidR="0001657E" w:rsidRDefault="00C547C7" w:rsidP="00C547C7">
      <w:pPr>
        <w:spacing w:line="360" w:lineRule="auto"/>
      </w:pPr>
      <w:r>
        <w:rPr>
          <w:rFonts w:hint="eastAsia"/>
        </w:rPr>
        <w:t>五、</w:t>
      </w:r>
      <w:r w:rsidR="00B05B3E">
        <w:rPr>
          <w:rFonts w:hint="eastAsia"/>
        </w:rPr>
        <w:t>结论</w:t>
      </w:r>
    </w:p>
    <w:p w14:paraId="77E7312C" w14:textId="57625F69" w:rsidR="00C547C7" w:rsidRDefault="00C547C7" w:rsidP="00B05B3E">
      <w:pPr>
        <w:spacing w:line="360" w:lineRule="auto"/>
        <w:ind w:firstLine="420"/>
      </w:pPr>
      <w:r w:rsidRPr="00C547C7">
        <w:rPr>
          <w:rFonts w:hint="eastAsia"/>
        </w:rPr>
        <w:t>综合来看，</w:t>
      </w:r>
      <w:r w:rsidRPr="00C547C7">
        <w:rPr>
          <w:rFonts w:hint="eastAsia"/>
        </w:rPr>
        <w:t>S2S</w:t>
      </w:r>
      <w:r w:rsidRPr="00C547C7">
        <w:rPr>
          <w:rFonts w:hint="eastAsia"/>
        </w:rPr>
        <w:t>技术目前整体不成熟，尚无纯技术产品落地。在客服等复杂场景，其“黑盒”特性导致短期内无法商用。建议近期以优化</w:t>
      </w:r>
      <w:r w:rsidRPr="00C547C7">
        <w:rPr>
          <w:rFonts w:hint="eastAsia"/>
        </w:rPr>
        <w:t>ASR</w:t>
      </w:r>
      <w:r w:rsidRPr="00C547C7">
        <w:rPr>
          <w:rFonts w:hint="eastAsia"/>
        </w:rPr>
        <w:t>应用为主，并对</w:t>
      </w:r>
      <w:r w:rsidRPr="00C547C7">
        <w:rPr>
          <w:rFonts w:hint="eastAsia"/>
        </w:rPr>
        <w:t>S2S</w:t>
      </w:r>
      <w:r w:rsidRPr="00C547C7">
        <w:rPr>
          <w:rFonts w:hint="eastAsia"/>
        </w:rPr>
        <w:t>技术保持跟踪，待其成熟后再作评估。</w:t>
      </w:r>
      <w:bookmarkStart w:id="0" w:name="_GoBack"/>
      <w:bookmarkEnd w:id="0"/>
    </w:p>
    <w:p w14:paraId="627DFAB6" w14:textId="3279CB9C" w:rsidR="0001657E" w:rsidRDefault="0001657E" w:rsidP="009A6965">
      <w:pPr>
        <w:spacing w:line="360" w:lineRule="auto"/>
        <w:rPr>
          <w:highlight w:val="yellow"/>
        </w:rPr>
      </w:pPr>
    </w:p>
    <w:sectPr w:rsidR="000165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E8CA034"/>
    <w:multiLevelType w:val="singleLevel"/>
    <w:tmpl w:val="9E8CA034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4186E6F"/>
    <w:multiLevelType w:val="hybridMultilevel"/>
    <w:tmpl w:val="04C69E2E"/>
    <w:lvl w:ilvl="0" w:tplc="0F50AB3E">
      <w:start w:val="4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57E"/>
    <w:rsid w:val="0001657E"/>
    <w:rsid w:val="002F143B"/>
    <w:rsid w:val="00337B74"/>
    <w:rsid w:val="003A67E9"/>
    <w:rsid w:val="005A24DA"/>
    <w:rsid w:val="009A6965"/>
    <w:rsid w:val="009D2503"/>
    <w:rsid w:val="00A90366"/>
    <w:rsid w:val="00B05B3E"/>
    <w:rsid w:val="00C547C7"/>
    <w:rsid w:val="4EB47350"/>
    <w:rsid w:val="7892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99EECA4"/>
  <w15:docId w15:val="{30BF3E82-F394-1F4A-8585-1C7C47D73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A2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rsid w:val="00337B7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3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7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9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zhangshuo</dc:creator>
  <cp:lastModifiedBy>Microsoft Office User</cp:lastModifiedBy>
  <cp:revision>2</cp:revision>
  <dcterms:created xsi:type="dcterms:W3CDTF">2014-10-29T12:08:00Z</dcterms:created>
  <dcterms:modified xsi:type="dcterms:W3CDTF">2026-04-09T06:29:00Z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eyJoZGlkIjoiMjBmNGNlZTY1NDM4OWJlYTg1MWRhZjU5MjkxOWJhNTQiLCJ1c2VySWQiOiI3MzIzMTAwMzUifQ==</vt:lpwstr>
  </property>
  <property fmtid="{D5CDD505-2E9C-101B-9397-08002B2CF9AE}" pid="4" name="ICV">
    <vt:lpwstr>01921784112A4EB5B1BC52620E79242B_12</vt:lpwstr>
  </property>
</Properties>
</file>