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California at Santa Clara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 AND OVERVIEW OF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2:23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3:57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4:75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4:84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SECTION 230 NON-IMMUNITY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6:149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CAUSE OF ACTION – FRAUD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6:173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7:192</w:t>
            </w:r>
          </w:p>
        </w:tc>
      </w:tr>
      <w:tr>
        <w:tc>
          <w:tcPr>
            <w:tcW w:type="dxa" w:w="4320"/>
          </w:tcPr>
          <w:p>
            <w:r>
              <w:rPr>
                <w:b w:val="0"/>
                <w:sz w:val="22"/>
              </w:rPr>
              <w:t>Cal. Civ. Code § 1572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2"/>
              </w:rPr>
              <w:t>6:174</w:t>
            </w:r>
          </w:p>
        </w:tc>
      </w:tr>
      <w:tr>
        <w:tc>
          <w:tcPr>
            <w:tcW w:type="dxa" w:w="4320"/>
          </w:tcPr>
          <w:p>
            <w:r>
              <w:rPr>
                <w:b w:val="0"/>
                <w:sz w:val="22"/>
              </w:rPr>
              <w:t>Lazar v. 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2"/>
              </w:rPr>
              <w:t>6:174</w:t>
            </w:r>
          </w:p>
        </w:tc>
      </w:tr>
      <w:tr>
        <w:tc>
          <w:tcPr>
            <w:tcW w:type="dxa" w:w="4320"/>
          </w:tcPr>
          <w:p>
            <w:r>
              <w:rPr>
                <w:b w:val="0"/>
                <w:sz w:val="22"/>
              </w:rPr>
              <w:t>Cal. Civ. Code § 3294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2"/>
              </w:rPr>
              <w:t>7:200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