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 w:val="false"/>
          <w:bCs w:val="false"/>
          <w:i w:val="false"/>
          <w:iCs w:val="false"/>
        </w:rPr>
        <w:t xml:space="preserve">Evolução da Citricultura Brasileira</w:t>
      </w:r>
    </w:p>
    <w:p>
      <w:pPr>
        <w:spacing w:after="120"/>
      </w:pPr>
      <w:r>
        <w:rPr>
          <w:b/>
          <w:bCs/>
          <w:i w:val="false"/>
          <w:iCs w:val="false"/>
          <w:sz w:val="26"/>
          <w:szCs w:val="26"/>
        </w:rPr>
        <w:t xml:space="preserve">Relatório consolidado — IBGE, Fundecitrus e MapBiomas</w:t>
      </w:r>
    </w:p>
    <w:p>
      <w:pPr>
        <w:spacing w:after="280"/>
      </w:pPr>
      <w:r>
        <w:rPr>
          <w:b/>
          <w:bCs/>
          <w:i w:val="false"/>
          <w:iCs w:val="false"/>
          <w:color w:val="C1560B"/>
          <w:sz w:val="22"/>
          <w:szCs w:val="22"/>
        </w:rPr>
        <w:t xml:space="preserve">Perspectiva histórica nacional (desde 1974/1985) + recorte regional recente (2015-2024)</w:t>
      </w:r>
    </w:p>
    <w:p>
      <w:pPr>
        <w:spacing w:after="160"/>
      </w:pPr>
      <w:r>
        <w:rPr>
          <w:b w:val="false"/>
          <w:bCs w:val="false"/>
          <w:i/>
          <w:iCs/>
          <w:sz w:val="21"/>
          <w:szCs w:val="21"/>
        </w:rPr>
        <w:t xml:space="preserve">Este relatório reúne, numa só narrativa, a análise da evolução da citricultura brasileira (laranja, limão e tangerina) construída a partir de três fontes de dados independentes — o levantamento oficial do IBGE (SIDRA/PAM), o inventário de árvores do Fundecitrus e o mapeamento por satélite do MapBiomas. O material tem duas partes: uma perspectiva histórica NACIONAL de longuíssimo prazo, e um recorte REGIONAL da janela mais recente (2015-2024), onde a produção de citros de fato se concentra.</w:t>
      </w:r>
    </w:p>
    <w:p>
      <w:pPr>
        <w:spacing w:after="300"/>
      </w:pPr>
      <w:r>
        <w:rPr>
          <w:b w:val="false"/>
          <w:bCs w:val="false"/>
          <w:i/>
          <w:iCs/>
          <w:color w:val="808080"/>
          <w:sz w:val="19"/>
          <w:szCs w:val="19"/>
        </w:rPr>
        <w:t xml:space="preserve">Os mapas citados ao longo deste documento não estão embutidos aqui — cada um é referenciado pelo nome do arquivo e está disponível na pasta compartilhada do Drive enviada junto com este relatório.</w:t>
      </w:r>
    </w:p>
    <w:p>
      <w:pPr>
        <w:pStyle w:val="Heading1"/>
        <w:pageBreakBefore/>
        <w:spacing w:after="150"/>
      </w:pPr>
      <w:r>
        <w:rPr>
          <w:b w:val="false"/>
          <w:bCs w:val="false"/>
          <w:i w:val="false"/>
          <w:iCs w:val="false"/>
        </w:rPr>
        <w:t xml:space="preserve">1. Sumário executivo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Este material tem duas partes: uma perspectiva histórica NACIONAL de longuíssimo prazo (IBGE desde 1974, MapBiomas desde 1985) e um recorte REGIONAL da janela mais recente, 2015-2024 (onde a produção de fato se concentra).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Na perspectiva de longo prazo, a área nacional de laranja praticamente dobrou entre 1974 e o final dos anos 1990, e só depois entrou em trajetória de queda — a contração recente é real, mas é um recuo parcial de uma expansão bem maior.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Na janela recente (2015-2024), regionalmente: laranja segue em contração física real (menos municípios, menos área plantada), mas com forte expansão de valor real — confirmada de forma independente pelas 3 fontes de dados.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Limão e tangerina: padrão oposto ao da laranja na janela recente — expansão genuína tanto física (mais municípios, mais área) quanto de valor.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 hipótese de que produtores estariam "migrando" da laranja para limão/tangerina nos mesmos municípios foi testada, em nível Brasil, e não se confirma: apenas 8,6% dos municípios que saíram da laranja entraram em outra cultura cítrica.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Quanto mais granular e recente a fonte, mais forte aparece a contração recente da laranja na região: 40% dos municípios em queda no IBGE (recorte Sudeste+Centro-Oeste+Bahia), 44% no MapBiomas, 62% no Fundecitrus.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Todas as fontes têm limitações próprias e não devem ser comparadas número a número — servem como checagem cruzada da tendência, não como validação estatística direta uma da outra.</w:t>
      </w:r>
    </w:p>
    <w:p>
      <w:pPr>
        <w:pStyle w:val="Heading1"/>
        <w:pageBreakBefore/>
        <w:spacing w:after="150"/>
      </w:pPr>
      <w:r>
        <w:rPr>
          <w:b w:val="false"/>
          <w:bCs w:val="false"/>
          <w:i w:val="false"/>
          <w:iCs w:val="false"/>
        </w:rPr>
        <w:t xml:space="preserve">2. Metodologia: duas janelas, duas escalas geográficas</w:t>
      </w:r>
    </w:p>
    <w:tbl>
      <w:tblPr>
        <w:tblW w:type="dxa" w:w="919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850"/>
        <w:gridCol w:w="2900"/>
        <w:gridCol w:w="2500"/>
        <w:gridCol w:w="1940"/>
      </w:tblGrid>
      <w:tr>
        <w:trPr>
          <w:tblHeader/>
        </w:trPr>
        <w:tc>
          <w:tcPr>
            <w:tcW w:type="dxa" w:w="185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90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Janela histórica (nacional)</w:t>
            </w:r>
          </w:p>
        </w:tc>
        <w:tc>
          <w:tcPr>
            <w:tcW w:type="dxa" w:w="250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Janela recente (regional, 2015-2024)</w:t>
            </w:r>
          </w:p>
        </w:tc>
        <w:tc>
          <w:tcPr>
            <w:tcW w:type="dxa" w:w="194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Culturas</w:t>
            </w:r>
          </w:p>
        </w:tc>
      </w:tr>
      <w:tr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IBGE (SIDRA/PAM)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1974-2024 — Brasil inteiro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Sudeste + Centro-Oeste + Bahia</w:t>
            </w:r>
          </w:p>
        </w:tc>
        <w:tc>
          <w:tcPr>
            <w:tcW w:type="dxa" w:w="19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Laranja, limão, tangerina</w:t>
            </w:r>
          </w:p>
        </w:tc>
      </w:tr>
      <w:tr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MapBiomas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1985-2024 — SP, MG, PR, GO, MS (únicos com registro)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Mesmos SP, MG, PR, GO, MS</w:t>
            </w:r>
          </w:p>
        </w:tc>
        <w:tc>
          <w:tcPr>
            <w:tcW w:type="dxa" w:w="19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Citros (classe única)</w:t>
            </w:r>
          </w:p>
        </w:tc>
      </w:tr>
      <w:tr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Fundecitrus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disponível (só cobre a partir da safra 2015/16)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 e MG (cinturão citrícola)</w:t>
            </w:r>
          </w:p>
        </w:tc>
        <w:tc>
          <w:tcPr>
            <w:tcW w:type="dxa" w:w="19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Só laranja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sz w:val="20"/>
          <w:szCs w:val="20"/>
        </w:rPr>
        <w:t xml:space="preserve">Por isso a Parte 1 deste relatório (histórico) é sempre nacional — ou tão ampla quanto a fonte permite — e a Parte 2 (janela 2015-2024) é sempre regional, focada onde a produção de citros de fato se concentra. As três fontes medem coisas conceitualmente diferentes (declarado, inventariado, detectado por satélite), então os números absolutos não coincidem entre si — o que importa comparar é a direção e a intensidade da tendência. Valores monetários do IBGE foram deflacionados pelo IPCA (série 433, SGS/Banco Central) para R$ de dezembro/2024.</w:t>
      </w:r>
    </w:p>
    <w:p>
      <w:pPr>
        <w:pageBreakBefore/>
        <w:spacing w:after="40"/>
      </w:pPr>
      <w:r>
        <w:rPr>
          <w:b/>
          <w:bCs/>
          <w:i w:val="false"/>
          <w:iCs w:val="false"/>
          <w:color w:val="C1560B"/>
          <w:sz w:val="18"/>
          <w:szCs w:val="18"/>
        </w:rPr>
        <w:t xml:space="preserve">PARTE 1</w:t>
      </w:r>
    </w:p>
    <w:p>
      <w:pPr>
        <w:pStyle w:val="Heading1"/>
        <w:spacing w:after="100"/>
      </w:pPr>
      <w:r>
        <w:rPr>
          <w:b w:val="false"/>
          <w:bCs w:val="false"/>
          <w:i w:val="false"/>
          <w:iCs w:val="false"/>
        </w:rPr>
        <w:t xml:space="preserve">Perspectiva histórica nacional</w:t>
      </w:r>
    </w:p>
    <w:p>
      <w:pPr>
        <w:spacing w:after="25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A série mais longa disponível em cada fonte, sempre em escala nacional (ou tão ampla quanto a fonte cobre): IBGE desde 1974 (Brasil inteiro) e MapBiomas desde 1985 (SP, MG, PR, GO e MS, os únicos estados com registro da classe).</w:t>
      </w:r>
    </w:p>
    <w:p>
      <w:pPr>
        <w:pStyle w:val="Heading2"/>
        <w:spacing w:after="120"/>
      </w:pPr>
      <w:r>
        <w:rPr>
          <w:b w:val="false"/>
          <w:bCs w:val="false"/>
          <w:i w:val="false"/>
          <w:iCs w:val="false"/>
        </w:rPr>
        <w:t xml:space="preserve">3. Laranja — evolução histórica nacional (1974-2024)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área colhida de laranja no Brasil inteiro praticamente dobrou entre 1974 e o fim dos anos 1990 (de 350 mil para quase 900 mil hectares), atingindo o pico por volta de 1997-1999. A partir daí entrou em trajetória de queda quase contínua: em 2024 a área nacional está em 565 mil hectares — 62% acima de 1974, mas bem abaixo do pico histórico. O número de municípios produtores segue um padrão parecido, hoje em 75% do nível de 1974.</w:t>
      </w:r>
    </w:p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evolução histórica da área colhida de laranja, 1974/2000/2024, Brasil inteiro, IBGE</w:t>
      </w:r>
      <w:r>
        <w:rPr>
          <w:i/>
          <w:iCs/>
          <w:color w:val="808080"/>
          <w:sz w:val="18"/>
          <w:szCs w:val="18"/>
        </w:rPr>
        <w:br/>
        <w:t xml:space="preserve">   —   arquivo: mapa_evolucao_historica_laranja_1974_2000_2024.png</w:t>
      </w:r>
    </w:p>
    <w:p>
      <w:pPr>
        <w:pStyle w:val="Heading2"/>
        <w:pageBreakBefore/>
        <w:spacing w:after="120"/>
      </w:pPr>
      <w:r>
        <w:rPr>
          <w:b w:val="false"/>
          <w:bCs w:val="false"/>
          <w:i w:val="false"/>
          <w:iCs w:val="false"/>
        </w:rPr>
        <w:t xml:space="preserve">4. Limão — evolução histórica nacional (1974-2024)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Ao contrário da laranja, o limão está em expansão ao longo de quase toda a série: a área colhida nacional saiu de 17,6 mil hectares em 1974 para 68,2 mil em 2024 — um crescimento de 287%, a maior parte dele concentrada na última década (de 46 mil hectares em 2015 para 68 mil em 2024).</w:t>
      </w:r>
    </w:p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evolução histórica da área colhida de limão, 1974/2000/2024, Brasil inteiro, IBGE</w:t>
      </w:r>
      <w:r>
        <w:rPr>
          <w:i/>
          <w:iCs/>
          <w:color w:val="808080"/>
          <w:sz w:val="18"/>
          <w:szCs w:val="18"/>
        </w:rPr>
        <w:br/>
        <w:t xml:space="preserve">   —   arquivo: mapa_evolucao_historica_limao_1974_2000_2024.png</w:t>
      </w:r>
    </w:p>
    <w:p>
      <w:pPr>
        <w:pStyle w:val="Heading2"/>
        <w:pageBreakBefore/>
        <w:spacing w:after="120"/>
      </w:pPr>
      <w:r>
        <w:rPr>
          <w:b w:val="false"/>
          <w:bCs w:val="false"/>
          <w:i w:val="false"/>
          <w:iCs w:val="false"/>
        </w:rPr>
        <w:t xml:space="preserve">5. Tangerina — evolução histórica nacional (1974-2024)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tangerina tem uma trajetória mais irregular que o limão — expansão até 2000, recuo entre 2000 e 2015, e nova recuperação na última década (de 49 mil hectares em 2015 para 55 mil em 2024). Em 2024, a área nacional está 86% acima de 1974.</w:t>
      </w:r>
    </w:p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evolução histórica da área colhida de tangerina, 1974/2000/2024, Brasil inteiro, IBGE</w:t>
      </w:r>
      <w:r>
        <w:rPr>
          <w:i/>
          <w:iCs/>
          <w:color w:val="808080"/>
          <w:sz w:val="18"/>
          <w:szCs w:val="18"/>
        </w:rPr>
        <w:br/>
        <w:t xml:space="preserve">   —   arquivo: mapa_evolucao_historica_tangerina_1974_2000_2024.png</w:t>
      </w:r>
    </w:p>
    <w:p>
      <w:pPr>
        <w:pStyle w:val="Heading2"/>
        <w:pageBreakBefore/>
        <w:spacing w:after="120"/>
      </w:pPr>
      <w:r>
        <w:rPr>
          <w:b w:val="false"/>
          <w:bCs w:val="false"/>
          <w:i w:val="false"/>
          <w:iCs w:val="false"/>
        </w:rPr>
        <w:t xml:space="preserve">6. Citros — evolução histórica (MapBiomas, 1985-2024)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MapBiomas detecta citros por imagem de satélite desde 1985, mas só tem registro da classe em SP, MG, PR, GO e MS — não é diretamente comparável em área absoluta com o IBGE (que é declarado, nacional, e separa as três culturas), mas mostra a mesma direção geral: expansão real e forte entre 1985 e ~2015-2020 (de 95 mil para mais de 420 mil hectares), seguida de estabilização na última década.</w:t>
      </w:r>
    </w:p>
    <w:p>
      <w:pPr>
        <w:spacing w:after="200"/>
      </w:pPr>
      <w:r>
        <w:rPr>
          <w:b w:val="false"/>
          <w:bCs w:val="false"/>
          <w:i/>
          <w:iCs/>
          <w:color w:val="808080"/>
          <w:sz w:val="18"/>
          <w:szCs w:val="18"/>
        </w:rPr>
        <w:t xml:space="preserve">Nota: entre as três fontes, o MapBiomas é a única cuja janela anterior a 2015 é explorada neste relatório — mas não é a série mais longa disponível: o IBGE tem levantamento oficial desde 1974 (mais longo que o do MapBiomas, que começa em 1985), como mostrado nas três seções acima.</w:t>
      </w:r>
    </w:p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evolução da área de citros, 1985/2000/2024, MapBiomas</w:t>
      </w:r>
      <w:r>
        <w:rPr>
          <w:i/>
          <w:iCs/>
          <w:color w:val="808080"/>
          <w:sz w:val="18"/>
          <w:szCs w:val="18"/>
        </w:rPr>
        <w:br/>
        <w:t xml:space="preserve">   —   arquivo: mapa_evolucao_citros_1985_2000_2024.png</w:t>
      </w:r>
    </w:p>
    <w:p>
      <w:pPr>
        <w:pStyle w:val="Heading2"/>
        <w:pageBreakBefore/>
        <w:spacing w:after="120"/>
      </w:pPr>
      <w:r>
        <w:rPr>
          <w:b w:val="false"/>
          <w:bCs w:val="false"/>
          <w:i w:val="false"/>
          <w:iCs w:val="false"/>
        </w:rPr>
        <w:t xml:space="preserve">7. A citricultura está "migrando" da laranja para limão/tangerina? Não.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Uma hipótese natural seria que os mesmos produtores estariam trocando a laranja por limão ou tangerina. Testamos isso em nível Brasil, para toda a janela 2015-2024 (esta é uma contagem de municípios, não depende de mapa): dos 628 municípios brasileiros que saíram da laranja no período, apenas 54 (8,6%) também entraram em limão e/ou tangerina. Os 806 municípios que entraram em limão/tangerina são, na esmagadora maioria, lugares que nunca tiveram tradição forte em nenhum citros antes — a expansão dessas duas culturas é geograficamente distinta da contração da laranja, não uma substituição direta dentro dos mesmos municípios.</w:t>
      </w:r>
    </w:p>
    <w:p>
      <w:pPr>
        <w:pageBreakBefore/>
        <w:spacing w:after="40"/>
      </w:pPr>
      <w:r>
        <w:rPr>
          <w:b/>
          <w:bCs/>
          <w:i w:val="false"/>
          <w:iCs w:val="false"/>
          <w:color w:val="C1560B"/>
          <w:sz w:val="18"/>
          <w:szCs w:val="18"/>
        </w:rPr>
        <w:t xml:space="preserve">PARTE 2</w:t>
      </w:r>
    </w:p>
    <w:p>
      <w:pPr>
        <w:pStyle w:val="Heading1"/>
        <w:spacing w:after="100"/>
      </w:pPr>
      <w:r>
        <w:rPr>
          <w:b w:val="false"/>
          <w:bCs w:val="false"/>
          <w:i w:val="false"/>
          <w:iCs w:val="false"/>
        </w:rPr>
        <w:t xml:space="preserve">Recorte regional recente (2015-2024)</w:t>
      </w:r>
    </w:p>
    <w:p>
      <w:pPr>
        <w:spacing w:after="25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Mesma janela de 10 anos, sempre no recorte onde a fonte tem cobertura consistente e a produção de fato se concentra: IBGE em Sudeste+Centro-Oeste+Bahia, MapBiomas em SP/MG/PR/GO/MS (mesmo recorte da Parte 1) e Fundecitrus em SP+MG.</w:t>
      </w:r>
    </w:p>
    <w:p>
      <w:pPr>
        <w:pStyle w:val="Heading2"/>
        <w:spacing w:after="120"/>
      </w:pPr>
      <w:r>
        <w:rPr>
          <w:b w:val="false"/>
          <w:bCs w:val="false"/>
          <w:i w:val="false"/>
          <w:iCs w:val="false"/>
        </w:rPr>
        <w:t xml:space="preserve">8. Laranja: contração física, mas expansão de valor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 recorte regional (Sudeste + Centro-Oeste + Bahia), entre 2015 e 2024 o número de municípios produtores de laranja caiu 6,6% e a área destinada à colheita caiu 15,8% — mas o valor real da produção (já descontada a inflação pelo IPCA) mais que triplicou (+248,9%). É essa divergência entre o que está acontecendo fisicamente no território e o que está acontecendo no valor gerado que motivou toda a investigação deste relatório.</w:t>
      </w:r>
    </w:p>
    <w:tbl>
      <w:tblPr>
        <w:tblW w:type="dxa" w:w="1024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3290"/>
        <w:gridCol w:w="2380"/>
        <w:gridCol w:w="2380"/>
        <w:gridCol w:w="2190"/>
      </w:tblGrid>
      <w:tr>
        <w:trPr>
          <w:tblHeader/>
        </w:trPr>
        <w:tc>
          <w:tcPr>
            <w:tcW w:type="dxa" w:w="329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(recorte SE+CO+BA)</w:t>
            </w:r>
          </w:p>
        </w:tc>
        <w:tc>
          <w:tcPr>
            <w:tcW w:type="dxa" w:w="238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2015</w:t>
            </w:r>
          </w:p>
        </w:tc>
        <w:tc>
          <w:tcPr>
            <w:tcW w:type="dxa" w:w="238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219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Variação</w:t>
            </w:r>
          </w:p>
        </w:tc>
      </w:tr>
      <w:tr>
        <w:tc>
          <w:tcPr>
            <w:tcW w:type="dxa" w:w="32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Municípios produtores</w:t>
            </w:r>
          </w:p>
        </w:tc>
        <w:tc>
          <w:tcPr>
            <w:tcW w:type="dxa" w:w="2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2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1.049</w:t>
            </w:r>
          </w:p>
        </w:tc>
        <w:tc>
          <w:tcPr>
            <w:tcW w:type="dxa" w:w="21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-6,6%</w:t>
            </w:r>
          </w:p>
        </w:tc>
      </w:tr>
      <w:tr>
        <w:tc>
          <w:tcPr>
            <w:tcW w:type="dxa" w:w="32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Área destinada à colheita (mil ha)</w:t>
            </w:r>
          </w:p>
        </w:tc>
        <w:tc>
          <w:tcPr>
            <w:tcW w:type="dxa" w:w="2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549,0</w:t>
            </w:r>
          </w:p>
        </w:tc>
        <w:tc>
          <w:tcPr>
            <w:tcW w:type="dxa" w:w="2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462,2</w:t>
            </w:r>
          </w:p>
        </w:tc>
        <w:tc>
          <w:tcPr>
            <w:tcW w:type="dxa" w:w="21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-15,8%</w:t>
            </w:r>
          </w:p>
        </w:tc>
      </w:tr>
      <w:tr>
        <w:tc>
          <w:tcPr>
            <w:tcW w:type="dxa" w:w="32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Quantidade produzida (mil t)</w:t>
            </w:r>
          </w:p>
        </w:tc>
        <w:tc>
          <w:tcPr>
            <w:tcW w:type="dxa" w:w="2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14.691,6</w:t>
            </w:r>
          </w:p>
        </w:tc>
        <w:tc>
          <w:tcPr>
            <w:tcW w:type="dxa" w:w="2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13.770,2</w:t>
            </w:r>
          </w:p>
        </w:tc>
        <w:tc>
          <w:tcPr>
            <w:tcW w:type="dxa" w:w="21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-6,3%</w:t>
            </w:r>
          </w:p>
        </w:tc>
      </w:tr>
      <w:tr>
        <w:tc>
          <w:tcPr>
            <w:tcW w:type="dxa" w:w="32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Valor real da produção (R$ milhões, dez/2024)</w:t>
            </w:r>
          </w:p>
        </w:tc>
        <w:tc>
          <w:tcPr>
            <w:tcW w:type="dxa" w:w="2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7.239,7</w:t>
            </w:r>
          </w:p>
        </w:tc>
        <w:tc>
          <w:tcPr>
            <w:tcW w:type="dxa" w:w="2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25.257,9</w:t>
            </w:r>
          </w:p>
        </w:tc>
        <w:tc>
          <w:tcPr>
            <w:tcW w:type="dxa" w:w="21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+248,9%</w:t>
            </w:r>
          </w:p>
        </w:tc>
      </w:tr>
    </w:tbl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divergência de variação percentual (2015→2024), laranja, recorte SE+CO+BA, IBGE</w:t>
      </w:r>
      <w:r>
        <w:rPr>
          <w:i/>
          <w:iCs/>
          <w:color w:val="808080"/>
          <w:sz w:val="18"/>
          <w:szCs w:val="18"/>
        </w:rPr>
        <w:br/>
        <w:t xml:space="preserve">   —   arquivo: mapa_divergencia_variacao_percentual_uf_sudeste_centro_oeste_bahia_laranja_2015_2024.png</w:t>
      </w:r>
    </w:p>
    <w:p>
      <w:pPr>
        <w:pStyle w:val="Heading2"/>
        <w:pageBreakBefore/>
        <w:spacing w:after="120"/>
      </w:pPr>
      <w:r>
        <w:rPr>
          <w:b w:val="false"/>
          <w:bCs w:val="false"/>
          <w:i w:val="false"/>
          <w:iCs w:val="false"/>
        </w:rPr>
        <w:t xml:space="preserve">9. Limão e tangerina: um padrão oposto — expansão real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Ao contrário da laranja, no mesmo recorte regional limão e tangerina cresceram em todas as frentes entre 2015 e 2024 — mais municípios produtores, mais área plantada, mais quantidade produzida e mais valor.</w:t>
      </w:r>
    </w:p>
    <w:tbl>
      <w:tblPr>
        <w:tblW w:type="dxa" w:w="1024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4090"/>
        <w:gridCol w:w="2050"/>
        <w:gridCol w:w="2050"/>
        <w:gridCol w:w="2050"/>
      </w:tblGrid>
      <w:tr>
        <w:trPr>
          <w:tblHeader/>
        </w:trPr>
        <w:tc>
          <w:tcPr>
            <w:tcW w:type="dxa" w:w="409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— variação 2015→2024 (recorte SE+CO+BA)</w:t>
            </w:r>
          </w:p>
        </w:tc>
        <w:tc>
          <w:tcPr>
            <w:tcW w:type="dxa" w:w="205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Laranja</w:t>
            </w:r>
          </w:p>
        </w:tc>
        <w:tc>
          <w:tcPr>
            <w:tcW w:type="dxa" w:w="205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Limão</w:t>
            </w:r>
          </w:p>
        </w:tc>
        <w:tc>
          <w:tcPr>
            <w:tcW w:type="dxa" w:w="205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Tangerina</w:t>
            </w:r>
          </w:p>
        </w:tc>
      </w:tr>
      <w:tr>
        <w:tc>
          <w:tcPr>
            <w:tcW w:type="dxa" w:w="40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Municípios produtores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-6,6%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+33,8%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+22,1%</w:t>
            </w:r>
          </w:p>
        </w:tc>
      </w:tr>
      <w:tr>
        <w:tc>
          <w:tcPr>
            <w:tcW w:type="dxa" w:w="40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Área destinada à colheita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-15,8%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+92,5%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+32,6%</w:t>
            </w:r>
          </w:p>
        </w:tc>
      </w:tr>
      <w:tr>
        <w:tc>
          <w:tcPr>
            <w:tcW w:type="dxa" w:w="40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Quantidade produzida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-6,3%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+40,6%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+8,8%</w:t>
            </w:r>
          </w:p>
        </w:tc>
      </w:tr>
      <w:tr>
        <w:tc>
          <w:tcPr>
            <w:tcW w:type="dxa" w:w="40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Valor real da produção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+248,9%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+86,4%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+123,1%</w:t>
            </w:r>
          </w:p>
        </w:tc>
      </w:tr>
    </w:tbl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divergência de variação percentual (2015→2024), limão, recorte SE+CO+BA, IBGE</w:t>
      </w:r>
      <w:r>
        <w:rPr>
          <w:i/>
          <w:iCs/>
          <w:color w:val="808080"/>
          <w:sz w:val="18"/>
          <w:szCs w:val="18"/>
        </w:rPr>
        <w:br/>
        <w:t xml:space="preserve">   —   arquivo: mapa_divergencia_variacao_percentual_uf_sudeste_centro_oeste_bahia_limao_2015_2024.png</w:t>
      </w:r>
    </w:p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divergência de variação percentual (2015→2024), tangerina, recorte SE+CO+BA, IBGE</w:t>
      </w:r>
      <w:r>
        <w:rPr>
          <w:i/>
          <w:iCs/>
          <w:color w:val="808080"/>
          <w:sz w:val="18"/>
          <w:szCs w:val="18"/>
        </w:rPr>
        <w:br/>
        <w:t xml:space="preserve">   —   arquivo: mapa_divergencia_variacao_percentual_uf_sudeste_centro_oeste_bahia_tangerina_2015_2024.png</w:t>
      </w:r>
    </w:p>
    <w:p>
      <w:pPr>
        <w:pStyle w:val="Heading2"/>
        <w:pageBreakBefore/>
        <w:spacing w:after="120"/>
      </w:pPr>
      <w:r>
        <w:rPr>
          <w:b w:val="false"/>
          <w:bCs w:val="false"/>
          <w:i w:val="false"/>
          <w:iCs w:val="false"/>
        </w:rPr>
        <w:t xml:space="preserve">10. Validação cruzada entre fontes independentes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Repetimos a mesma análise de variação percentual 2015→2024, por município, nas três fontes — todas em recorte regional. O padrão de contração da laranja se confirma nas três — mas fica mais forte quanto mais granular e recente é a fonte:</w:t>
      </w:r>
    </w:p>
    <w:tbl>
      <w:tblPr>
        <w:tblW w:type="dxa" w:w="1024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800"/>
        <w:gridCol w:w="2200"/>
        <w:gridCol w:w="1500"/>
        <w:gridCol w:w="1110"/>
        <w:gridCol w:w="1110"/>
        <w:gridCol w:w="1110"/>
        <w:gridCol w:w="1410"/>
      </w:tblGrid>
      <w:tr>
        <w:trPr>
          <w:tblHeader/>
        </w:trPr>
        <w:tc>
          <w:tcPr>
            <w:tcW w:type="dxa" w:w="180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Recorte</w:t>
            </w:r>
          </w:p>
        </w:tc>
        <w:tc>
          <w:tcPr>
            <w:tcW w:type="dxa" w:w="150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Municípios analisados</w:t>
            </w:r>
          </w:p>
        </w:tc>
        <w:tc>
          <w:tcPr>
            <w:tcW w:type="dxa" w:w="111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em queda</w:t>
            </w:r>
          </w:p>
        </w:tc>
        <w:tc>
          <w:tcPr>
            <w:tcW w:type="dxa" w:w="111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estável</w:t>
            </w:r>
          </w:p>
        </w:tc>
        <w:tc>
          <w:tcPr>
            <w:tcW w:type="dxa" w:w="111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em alta</w:t>
            </w:r>
          </w:p>
        </w:tc>
        <w:tc>
          <w:tcPr>
            <w:tcW w:type="dxa" w:w="1410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novo produtor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IBGE (laranja)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Sudeste+Centro-Oeste+Bahia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1.326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43%</w:t>
            </w:r>
          </w:p>
        </w:tc>
        <w:tc>
          <w:tcPr>
            <w:tcW w:type="dxa" w:w="14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MapBiomas (citros)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SP, MG, PR, GO, MS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641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44%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32%</w:t>
            </w:r>
          </w:p>
        </w:tc>
        <w:tc>
          <w:tcPr>
            <w:tcW w:type="dxa" w:w="14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Fundecitrus (laranja)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 e MG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11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4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</w:tr>
    </w:tbl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divergência de variação percentual e absoluta (2015→2024), citros, recorte 5 estados, MapBiomas</w:t>
      </w:r>
      <w:r>
        <w:rPr>
          <w:i/>
          <w:iCs/>
          <w:color w:val="808080"/>
          <w:sz w:val="18"/>
          <w:szCs w:val="18"/>
        </w:rPr>
        <w:br/>
        <w:t xml:space="preserve">   —   arquivo: mapa_divergencia_citros_2015_2024.png</w:t>
      </w:r>
    </w:p>
    <w:p>
      <w:pPr>
        <w:pBdr>
          <w:top w:val="single" w:color="BFBFBF" w:sz="4" w:space="8"/>
          <w:bottom w:val="single" w:color="BFBFBF" w:sz="4" w:space="8"/>
        </w:pBdr>
        <w:spacing w:after="200" w:before="100"/>
        <w:jc w:val="center"/>
      </w:pPr>
      <w:r>
        <w:rPr>
          <w:i/>
          <w:iCs/>
          <w:color w:val="555555"/>
          <w:sz w:val="19"/>
          <w:szCs w:val="19"/>
        </w:rPr>
        <w:t xml:space="preserve">🗺  Mapa — divergência de variação percentual e absoluta (2015→2024), laranja, recorte SP+MG, Fundecitrus</w:t>
      </w:r>
      <w:r>
        <w:rPr>
          <w:i/>
          <w:iCs/>
          <w:color w:val="808080"/>
          <w:sz w:val="18"/>
          <w:szCs w:val="18"/>
        </w:rPr>
        <w:br/>
        <w:t xml:space="preserve">   —   arquivo: mapa_divergencia_area_laranja_2015_2024.png</w:t>
      </w:r>
    </w:p>
    <w:p>
      <w:pPr>
        <w:pStyle w:val="Heading1"/>
        <w:pageBreakBefore/>
        <w:spacing w:after="150"/>
      </w:pPr>
      <w:r>
        <w:rPr>
          <w:b w:val="false"/>
          <w:bCs w:val="false"/>
          <w:i w:val="false"/>
          <w:iCs w:val="false"/>
        </w:rPr>
        <w:t xml:space="preserve">11. Limitações e ressalvas metodológicas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As três fontes não são diretamente comparáveis em valores absolutos — cada uma mede um conceito diferente (declarado, inventariado, detectado por satélite).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 MapBiomas não distingue laranja, limão e tangerina — "Citrus" é uma classe só.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 classe Citrus do MapBiomas só tem registros em SP, MG, PR, GO e MS — não há dado para Bahia, Espírito Santo, Rio de Janeiro ou Mato Grosso nessa fonte, provavelmente porque o classificador não reconhece bem o padrão mais fragmentado/intercalado de citros fora do polo SP-MG.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 Fundecitrus cobre exclusivamente laranja, e seu levantamento é concentrado no cinturão citrícola tradicional (SP + Triângulo Mineiro/MG) — não tem cobertura nacional nem série histórica anterior a 2015.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 janela histórica nacional (Parte 1) usa "área colhida" do IBGE, não "área destinada à colheita" — essa segunda variável só existe a partir de 1988 e é a usada no recorte recente (Parte 2).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Valores monetários do IBGE foram deflacionados pelo IPCA (série 433, SGS/Banco Central) para R$ de dezembro/2024, para permitir comparação real entre os anos.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As faixas de variação percentual usadas nas tabelas de "validação cruzada" (queda/estável/alta) são uma classificação nossa, criada para este relatório, não uma categoria oficial de nenhuma das fontes.</w:t>
      </w:r>
    </w:p>
    <w:p>
      <w:pPr>
        <w:pStyle w:val="Heading1"/>
        <w:pageBreakBefore/>
        <w:spacing w:after="150"/>
      </w:pPr>
      <w:r>
        <w:rPr>
          <w:b w:val="false"/>
          <w:bCs w:val="false"/>
          <w:i w:val="false"/>
          <w:iCs w:val="false"/>
        </w:rPr>
        <w:t xml:space="preserve">12. Conclusão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Em perspectiva longa e nacional, a citricultura brasileira já passou por uma expansão bem maior do que a contração recente sugere — a área de laranja quase triplicou entre 1974 e o fim dos anos 1990, e só depois começou a recuar. Na janela recente (2015-2024), no recorte regional onde a produção se concentra, o quadro depende de qual cultura se olha: para a laranja, o retrato mais robusto (sustentado por três fontes de dados metodologicamente independentes) é de contração física real combinada com forte expansão de valor. Já limão e tangerina vivem um momento de expansão genuína, física e de valor, mais distribuída geograficamente — sem relação direta de "substituição" com a contração da laranja nos mesmos municípios. Reunir IBGE, Fundecitrus e MapBiomas — cada um na escala onde tem cobertura confiável — permitiu testar essas conclusões de forma cruzada, e todas convergem na mesma direção.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2026-09-10T20:56:36.987Z</dcterms:created>
  <dcterms:modified xsi:type="dcterms:W3CDTF">2026-09-10T20:56:36.987Z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