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DB954"/>
          <w:sz w:val="18"/>
          <w:szCs w:val="18"/>
        </w:rPr>
        <w:t xml:space="preserve">SPOTIFY</w:t>
      </w:r>
    </w:p>
    <w:p>
      <w:pPr>
        <w:spacing w:after="120"/>
      </w:pPr>
      <w:r>
        <w:rPr>
          <w:rFonts w:ascii="Arial" w:cs="Arial" w:eastAsia="Arial" w:hAnsi="Arial"/>
          <w:i/>
          <w:iCs/>
          <w:color w:val="535353"/>
          <w:sz w:val="16"/>
          <w:szCs w:val="16"/>
        </w:rPr>
        <w:t xml:space="preserve">Annexe — Note d'argumentation</w:t>
      </w:r>
    </w:p>
    <w:p>
      <w:pPr>
        <w:pBdr>
          <w:bottom w:val="single" w:color="1DB954" w:sz="12" w:space="4"/>
        </w:pBdr>
        <w:spacing w:after="80" w:before="60"/>
      </w:pPr>
      <w:r>
        <w:rPr>
          <w:rFonts w:ascii="Arial" w:cs="Arial" w:eastAsia="Arial" w:hAnsi="Arial"/>
          <w:b/>
          <w:bCs/>
          <w:color w:val="191414"/>
          <w:sz w:val="30"/>
          <w:szCs w:val="30"/>
        </w:rPr>
        <w:t xml:space="preserve">Justification de l'organigramme enrichi</w:t>
      </w:r>
    </w:p>
    <w:p>
      <w:pPr>
        <w:spacing w:after="200"/>
      </w:pPr>
      <w:r>
        <w:rPr>
          <w:rFonts w:ascii="Arial" w:cs="Arial" w:eastAsia="Arial" w:hAnsi="Arial"/>
          <w:i/>
          <w:iCs/>
          <w:color w:val="535353"/>
          <w:sz w:val="20"/>
          <w:szCs w:val="20"/>
        </w:rPr>
        <w:t xml:space="preserve">Sources documentaires pour défendre chaque rôle en présentation executive</w:t>
      </w:r>
    </w:p>
    <w:p>
      <w:pPr>
        <w:pStyle w:val="Heading1"/>
        <w:spacing w:after="120" w:before="200"/>
      </w:pPr>
      <w:r>
        <w:rPr>
          <w:rFonts w:ascii="Arial" w:cs="Arial" w:eastAsia="Arial" w:hAnsi="Arial"/>
          <w:b/>
          <w:bCs/>
          <w:color w:val="191414"/>
          <w:sz w:val="26"/>
          <w:szCs w:val="26"/>
        </w:rPr>
        <w:t xml:space="preserve">1. Contexte</w:t>
      </w:r>
    </w:p>
    <w:p>
      <w:pPr>
        <w:spacing w:after="100" w:line="260"/>
        <w:jc w:val="both"/>
      </w:pPr>
      <w:r>
        <w:rPr>
          <w:rFonts w:ascii="Arial" w:cs="Arial" w:eastAsia="Arial" w:hAnsi="Arial"/>
          <w:sz w:val="20"/>
          <w:szCs w:val="20"/>
        </w:rPr>
        <w:t xml:space="preserve">L'organigramme proposé pour la gouvernance des données chez Spotify s'appuie sur le Roles Template fourni, mais l'enrichit avec des rôles complémentaires issus des autres documents du framework — Tech Tools Overview, Organizational Models, Executive Q&amp;A Guide, Pilot Template. Cette note explique, rôle par rôle, sur quelle source documentaire chaque ajout s'appuie.</w:t>
      </w:r>
    </w:p>
    <w:p>
      <w:pPr>
        <w:spacing w:after="100" w:line="260"/>
        <w:jc w:val="both"/>
      </w:pPr>
      <w:r>
        <w:rPr>
          <w:rFonts w:ascii="Arial" w:cs="Arial" w:eastAsia="Arial" w:hAnsi="Arial"/>
          <w:sz w:val="20"/>
          <w:szCs w:val="20"/>
        </w:rPr>
        <w:t xml:space="preserve">L'enrichissement est cohérent avec le modèle Center of Excellence recommandé dans l'Executive Q&amp;A Guide, qui implique mécaniquement une structure plus étoffée que les quatre rôles du Roles Template.</w:t>
      </w:r>
    </w:p>
    <w:p>
      <w:pPr>
        <w:pStyle w:val="Heading1"/>
        <w:spacing w:after="120" w:before="200"/>
      </w:pPr>
      <w:r>
        <w:rPr>
          <w:rFonts w:ascii="Arial" w:cs="Arial" w:eastAsia="Arial" w:hAnsi="Arial"/>
          <w:b/>
          <w:bCs/>
          <w:color w:val="191414"/>
          <w:sz w:val="26"/>
          <w:szCs w:val="26"/>
        </w:rPr>
        <w:t xml:space="preserve">2. Rôles directement issus du Roles Template</w:t>
      </w:r>
    </w:p>
    <w:p>
      <w:pPr>
        <w:spacing w:after="100" w:line="260"/>
        <w:jc w:val="both"/>
      </w:pPr>
      <w:r>
        <w:rPr>
          <w:rFonts w:ascii="Arial" w:cs="Arial" w:eastAsia="Arial" w:hAnsi="Arial"/>
          <w:sz w:val="20"/>
          <w:szCs w:val="20"/>
        </w:rPr>
        <w:t xml:space="preserve">Quatre rôles figurent tels quels dans l'organigramme, conformément au document Data Governance Roles Template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18"/>
                <w:szCs w:val="18"/>
              </w:rPr>
              <w:t xml:space="preserve">Rôle</w:t>
            </w:r>
          </w:p>
        </w:tc>
        <w:tc>
          <w:tcPr>
            <w:tcW w:type="dxa" w:w="6660"/>
            <w:tcBorders>
              <w:top w:val="single" w:color="CCCCCC" w:sz="1"/>
              <w:left w:val="single" w:color="CCCCCC" w:sz="1"/>
              <w:bottom w:val="single" w:color="CCCCCC" w:sz="1"/>
              <w:right w:val="single" w:color="CCCCCC" w:sz="1"/>
            </w:tcBorders>
            <w:shd w:fill="1DB954" w:val="clear"/>
            <w:tcMar>
              <w:top w:type="dxa" w:w="80"/>
              <w:left w:type="dxa" w:w="120"/>
              <w:bottom w:type="dxa" w:w="80"/>
              <w:right w:type="dxa" w:w="120"/>
            </w:tcMar>
          </w:tcPr>
          <w:p>
            <w:pPr>
              <w:spacing w:after="0"/>
              <w:jc w:val="left"/>
            </w:pPr>
            <w:r>
              <w:rPr>
                <w:rFonts w:ascii="Arial" w:cs="Arial" w:eastAsia="Arial" w:hAnsi="Arial"/>
                <w:b/>
                <w:bCs/>
                <w:i w:val="false"/>
                <w:iCs w:val="false"/>
                <w:color w:val="FFFFFF"/>
                <w:sz w:val="18"/>
                <w:szCs w:val="18"/>
              </w:rPr>
              <w:t xml:space="preserve">Justification (citation Roles Template)</w:t>
            </w:r>
          </w:p>
        </w:tc>
      </w:tr>
      <w:tr>
        <w:tc>
          <w:tcPr>
            <w:tcW w:type="dxa" w:w="27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Chief Data Officer (CDO)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 Lead the data governance strategy and oversee data management across Spotify. Define data policies and strategies to meet business goals. »</w:t>
            </w:r>
          </w:p>
        </w:tc>
      </w:tr>
      <w:tr>
        <w:tc>
          <w:tcPr>
            <w:tcW w:type="dxa" w:w="27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Data Protection Officer (DPO)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 Ensure compliance with data protection regulations such as GDPR and CCPA. Monitor compliance with privacy laws. Serve as the point of contact for data protection authorities. »</w:t>
            </w:r>
          </w:p>
        </w:tc>
      </w:tr>
      <w:tr>
        <w:tc>
          <w:tcPr>
            <w:tcW w:type="dxa" w:w="27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Data Stewards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 Oversee data management practices across specific departments. Ensure data accuracy, consistency, and reliability. Enforce data governance policies and manage data access. »</w:t>
            </w:r>
          </w:p>
        </w:tc>
      </w:tr>
      <w:tr>
        <w:tc>
          <w:tcPr>
            <w:tcW w:type="dxa" w:w="2700"/>
            <w:tcBorders>
              <w:top w:val="single" w:color="CCCCCC" w:sz="1"/>
              <w:left w:val="single" w:color="CCCCCC" w:sz="1"/>
              <w:bottom w:val="single" w:color="CCCCCC" w:sz="1"/>
              <w:right w:val="single" w:color="CCCCCC" w:sz="1"/>
            </w:tcBorders>
            <w:shd w:fill="E8F8EE" w:val="clear"/>
            <w:tcMar>
              <w:top w:type="dxa" w:w="80"/>
              <w:left w:type="dxa" w:w="120"/>
              <w:bottom w:type="dxa" w:w="80"/>
              <w:right w:type="dxa" w:w="120"/>
            </w:tcMar>
          </w:tcPr>
          <w:p>
            <w:pPr>
              <w:spacing w:after="0"/>
              <w:jc w:val="left"/>
            </w:pPr>
            <w:r>
              <w:rPr>
                <w:rFonts w:ascii="Arial" w:cs="Arial" w:eastAsia="Arial" w:hAnsi="Arial"/>
                <w:b/>
                <w:bCs/>
                <w:i w:val="false"/>
                <w:iCs w:val="false"/>
                <w:color w:val="000000"/>
                <w:sz w:val="18"/>
                <w:szCs w:val="18"/>
              </w:rPr>
              <w:t xml:space="preserve">Data Governance Committee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iCs/>
                <w:color w:val="000000"/>
                <w:sz w:val="18"/>
                <w:szCs w:val="18"/>
              </w:rPr>
              <w:t xml:space="preserve">« Guide the data governance framework and ensure alignment across the organization. Review and approve data policies and processes. Address cross-departmental data governance challenges. »</w:t>
            </w:r>
          </w:p>
        </w:tc>
      </w:tr>
    </w:tbl>
    <w:p>
      <w:pPr>
        <w:pStyle w:val="Heading1"/>
        <w:spacing w:after="120" w:before="200"/>
      </w:pPr>
      <w:r>
        <w:rPr>
          <w:rFonts w:ascii="Arial" w:cs="Arial" w:eastAsia="Arial" w:hAnsi="Arial"/>
          <w:b/>
          <w:bCs/>
          <w:color w:val="191414"/>
          <w:sz w:val="26"/>
          <w:szCs w:val="26"/>
        </w:rPr>
        <w:t xml:space="preserve">3. Enrichissements et leurs sources documentaires</w:t>
      </w:r>
    </w:p>
    <w:p>
      <w:pPr>
        <w:spacing w:after="100" w:line="260"/>
        <w:jc w:val="both"/>
      </w:pPr>
      <w:r>
        <w:rPr>
          <w:rFonts w:ascii="Arial" w:cs="Arial" w:eastAsia="Arial" w:hAnsi="Arial"/>
          <w:sz w:val="20"/>
          <w:szCs w:val="20"/>
        </w:rPr>
        <w:t xml:space="preserve">Les éléments suivants ne figurent pas explicitement dans le Roles Template mais sont défendables car ils s'appuient sur d'autres documents du framework Spotify :</w:t>
      </w:r>
    </w:p>
    <w:p>
      <w:pPr>
        <w:pStyle w:val="Heading2"/>
        <w:spacing w:after="80" w:before="160"/>
      </w:pPr>
      <w:r>
        <w:rPr>
          <w:rFonts w:ascii="Arial" w:cs="Arial" w:eastAsia="Arial" w:hAnsi="Arial"/>
          <w:b/>
          <w:bCs/>
          <w:color w:val="1DB954"/>
          <w:sz w:val="20"/>
          <w:szCs w:val="20"/>
        </w:rPr>
        <w:t xml:space="preserve">3.1 Direction exécutive (CEO / COO) en sommet d'organigramme</w:t>
      </w:r>
    </w:p>
    <w:p>
      <w:pPr>
        <w:spacing w:after="100" w:line="260"/>
        <w:jc w:val="both"/>
      </w:pPr>
      <w:r>
        <w:rPr>
          <w:rFonts w:ascii="Arial" w:cs="Arial" w:eastAsia="Arial" w:hAnsi="Arial"/>
          <w:sz w:val="20"/>
          <w:szCs w:val="20"/>
        </w:rPr>
        <w:t xml:space="preserve">Source : Executive Q&amp;A Guide — l'ensemble du document s'adresse à la direction exécutive (« common and challenging questions from executives »), positionnant le sponsorship exécutif comme prérequis du framework. La désignation du DPO suppose juridiquement (RGPD article 37) une nomination par la direction de l'organisation, ce qui exige un sponsor exécutif.</w:t>
      </w:r>
    </w:p>
    <w:p>
      <w:pPr>
        <w:pStyle w:val="Heading2"/>
        <w:spacing w:after="80" w:before="160"/>
      </w:pPr>
      <w:r>
        <w:rPr>
          <w:rFonts w:ascii="Arial" w:cs="Arial" w:eastAsia="Arial" w:hAnsi="Arial"/>
          <w:b/>
          <w:bCs/>
          <w:color w:val="1DB954"/>
          <w:sz w:val="20"/>
          <w:szCs w:val="20"/>
        </w:rPr>
        <w:t xml:space="preserve">3.2 Sécurité IT / RSSI sous le CDO</w:t>
      </w:r>
    </w:p>
    <w:p>
      <w:pPr>
        <w:spacing w:after="100" w:line="260"/>
        <w:jc w:val="both"/>
      </w:pPr>
      <w:r>
        <w:rPr>
          <w:rFonts w:ascii="Arial" w:cs="Arial" w:eastAsia="Arial" w:hAnsi="Arial"/>
          <w:sz w:val="20"/>
          <w:szCs w:val="20"/>
        </w:rPr>
        <w:t xml:space="preserve">Source : Tech Tools Overview, section 4 (Data Security Tools). Le document recommande explicitement Splunk pour le SIEM, Vormetric pour le chiffrement et DataGuard pour la conformité, autant d'outils qui requièrent une fonction Sécurité IT structurée. Le Governance Principles Guide, principe 3, pose la sécurité comme « cornerstone of the governance framework », ce qui justifie un rôle dédié.</w:t>
      </w:r>
    </w:p>
    <w:p>
      <w:pPr>
        <w:pStyle w:val="Heading2"/>
        <w:spacing w:after="80" w:before="160"/>
      </w:pPr>
      <w:r>
        <w:rPr>
          <w:rFonts w:ascii="Arial" w:cs="Arial" w:eastAsia="Arial" w:hAnsi="Arial"/>
          <w:b/>
          <w:bCs/>
          <w:color w:val="1DB954"/>
          <w:sz w:val="20"/>
          <w:szCs w:val="20"/>
        </w:rPr>
        <w:t xml:space="preserve">3.3 Juridique &amp; Privacy sous le CDO</w:t>
      </w:r>
    </w:p>
    <w:p>
      <w:pPr>
        <w:spacing w:after="100" w:line="260"/>
        <w:jc w:val="both"/>
      </w:pPr>
      <w:r>
        <w:rPr>
          <w:rFonts w:ascii="Arial" w:cs="Arial" w:eastAsia="Arial" w:hAnsi="Arial"/>
          <w:sz w:val="20"/>
          <w:szCs w:val="20"/>
        </w:rPr>
        <w:t xml:space="preserve">Source : Executive Q&amp;A Guide, question 11 (Risques) — le document mentionne explicitement les risques réglementaires et la nécessité d'une « legal alignment » dans la gouvernance. Le Governance Principles Guide impose des revues régulières de conformité face aux régulations évolutives, ce qui suppose une fonction Juridique dédiée distincte du DPO.</w:t>
      </w:r>
    </w:p>
    <w:p>
      <w:pPr>
        <w:pStyle w:val="Heading2"/>
        <w:spacing w:after="80" w:before="160"/>
      </w:pPr>
      <w:r>
        <w:rPr>
          <w:rFonts w:ascii="Arial" w:cs="Arial" w:eastAsia="Arial" w:hAnsi="Arial"/>
          <w:b/>
          <w:bCs/>
          <w:color w:val="1DB954"/>
          <w:sz w:val="20"/>
          <w:szCs w:val="20"/>
        </w:rPr>
        <w:t xml:space="preserve">3.4 Quatre Data Stewards par fonction (Marketing, Produit, Finance, Paiement)</w:t>
      </w:r>
    </w:p>
    <w:p>
      <w:pPr>
        <w:spacing w:after="100" w:line="260"/>
        <w:jc w:val="both"/>
      </w:pPr>
      <w:r>
        <w:rPr>
          <w:rFonts w:ascii="Arial" w:cs="Arial" w:eastAsia="Arial" w:hAnsi="Arial"/>
          <w:sz w:val="20"/>
          <w:szCs w:val="20"/>
        </w:rPr>
        <w:t xml:space="preserve">Source : Roles Template — « Data Stewards oversee data management practices across specific departments ». Le document précise que des Stewards interviennent sur des départements spécifiques sans les nommer. Le choix Marketing / Produit / Finance / Paiement reflète les fonctions classiques d'une entreprise tech globale, et le département Paiement est explicitement justifié par les exigences PCI-DSS du Governance Principles Guide. Le Pilot Template confirme ce choix en utilisant le Marketing comme département pilote.</w:t>
      </w:r>
    </w:p>
    <w:p>
      <w:pPr>
        <w:pStyle w:val="Heading2"/>
        <w:spacing w:after="80" w:before="160"/>
      </w:pPr>
      <w:r>
        <w:rPr>
          <w:rFonts w:ascii="Arial" w:cs="Arial" w:eastAsia="Arial" w:hAnsi="Arial"/>
          <w:b/>
          <w:bCs/>
          <w:color w:val="1DB954"/>
          <w:sz w:val="20"/>
          <w:szCs w:val="20"/>
        </w:rPr>
        <w:t xml:space="preserve">3.5 Cadence mensuelle puis trimestrielle pour le Comité</w:t>
      </w:r>
    </w:p>
    <w:p>
      <w:pPr>
        <w:spacing w:after="100" w:line="260"/>
        <w:jc w:val="both"/>
      </w:pPr>
      <w:r>
        <w:rPr>
          <w:rFonts w:ascii="Arial" w:cs="Arial" w:eastAsia="Arial" w:hAnsi="Arial"/>
          <w:sz w:val="20"/>
          <w:szCs w:val="20"/>
        </w:rPr>
        <w:t xml:space="preserve">Source : choix opérationnel cohérent avec l'Executive Q&amp;A Guide, question 7 (Timeline). Le document prévoit un pilote de 3 à 6 mois suivi d'un rollout de 12 à 18 mois. Une cadence mensuelle pendant le pilote permet un pilotage rapproché ; une cadence trimestrielle après stabilisation reflète la pratique standard des Comités de Gouvernance dans les grandes organisations.</w:t>
      </w:r>
    </w:p>
    <w:p>
      <w:pPr>
        <w:pStyle w:val="Heading1"/>
        <w:spacing w:after="120" w:before="200"/>
      </w:pPr>
      <w:r>
        <w:rPr>
          <w:rFonts w:ascii="Arial" w:cs="Arial" w:eastAsia="Arial" w:hAnsi="Arial"/>
          <w:b/>
          <w:bCs/>
          <w:color w:val="191414"/>
          <w:sz w:val="26"/>
          <w:szCs w:val="26"/>
        </w:rPr>
        <w:t xml:space="preserve">4. Rôles du cours non retenus dans l'organigramme</w:t>
      </w:r>
    </w:p>
    <w:p>
      <w:pPr>
        <w:spacing w:after="100" w:line="260"/>
        <w:jc w:val="both"/>
      </w:pPr>
      <w:r>
        <w:rPr>
          <w:rFonts w:ascii="Arial" w:cs="Arial" w:eastAsia="Arial" w:hAnsi="Arial"/>
          <w:sz w:val="20"/>
          <w:szCs w:val="20"/>
        </w:rPr>
        <w:t xml:space="preserve">Le cours Organizational Models mentionne d'autres rôles — Data Owners, Data Managers, Data Scientists / Analysts, Data Engineers — qui ne figurent pas dans cet organigramme. Le choix est délibéré : ces rôles relèvent du périmètre Data Management et Data Analytics (les deux niveaux inférieurs de la pyramide DG / DM / DA), tandis que l'organigramme se concentre sur la couche Data Governance — celle qui fixe les règles.</w:t>
      </w:r>
    </w:p>
    <w:p>
      <w:pPr>
        <w:spacing w:after="100" w:line="260"/>
        <w:jc w:val="both"/>
      </w:pPr>
      <w:r>
        <w:rPr>
          <w:rFonts w:ascii="Arial" w:cs="Arial" w:eastAsia="Arial" w:hAnsi="Arial"/>
          <w:sz w:val="20"/>
          <w:szCs w:val="20"/>
        </w:rPr>
        <w:t xml:space="preserve">Cette frontière est cohérente avec la recommandation du cours : « DM &amp; DG should be done by different people. DG should audit whether DM is implementing what has been defined the right way. » Inclure les rôles DM et DA dans l'organigramme de gouvernance brouillerait cette séparation.</w:t>
      </w:r>
    </w:p>
    <w:p>
      <w:pPr>
        <w:pStyle w:val="Heading1"/>
        <w:spacing w:after="120" w:before="200"/>
      </w:pPr>
      <w:r>
        <w:rPr>
          <w:rFonts w:ascii="Arial" w:cs="Arial" w:eastAsia="Arial" w:hAnsi="Arial"/>
          <w:b/>
          <w:bCs/>
          <w:color w:val="191414"/>
          <w:sz w:val="26"/>
          <w:szCs w:val="26"/>
        </w:rPr>
        <w:t xml:space="preserve">5. Réponses prêtes pour la présentation</w:t>
      </w:r>
    </w:p>
    <w:p>
      <w:pPr>
        <w:spacing w:after="100" w:line="260"/>
        <w:jc w:val="both"/>
      </w:pPr>
      <w:r>
        <w:rPr>
          <w:rFonts w:ascii="Arial" w:cs="Arial" w:eastAsia="Arial" w:hAnsi="Arial"/>
          <w:sz w:val="20"/>
          <w:szCs w:val="20"/>
        </w:rPr>
        <w:t xml:space="preserve">Si un cadre dirigeant challenge l'organigramme, voici trois réponses types :</w:t>
      </w:r>
    </w:p>
    <w:p>
      <w:pPr>
        <w:pStyle w:val="Heading2"/>
        <w:spacing w:after="80" w:before="160"/>
      </w:pPr>
      <w:r>
        <w:rPr>
          <w:rFonts w:ascii="Arial" w:cs="Arial" w:eastAsia="Arial" w:hAnsi="Arial"/>
          <w:b/>
          <w:bCs/>
          <w:color w:val="1DB954"/>
          <w:sz w:val="20"/>
          <w:szCs w:val="20"/>
        </w:rPr>
        <w:t xml:space="preserve">« Pourquoi ces rôles ne sont-ils pas tous dans le Roles Template ? »</w:t>
      </w:r>
    </w:p>
    <w:p>
      <w:pPr>
        <w:spacing w:after="100" w:line="260"/>
        <w:jc w:val="both"/>
      </w:pPr>
      <w:r>
        <w:rPr>
          <w:rFonts w:ascii="Arial" w:cs="Arial" w:eastAsia="Arial" w:hAnsi="Arial"/>
          <w:sz w:val="20"/>
          <w:szCs w:val="20"/>
        </w:rPr>
        <w:t xml:space="preserve">Le Roles Template fournit les quatre rôles socles — CDO, DPO, Data Stewards, Comité. Pour une mise en œuvre opérationnelle, ces rôles s'articulent avec les fonctions support déjà mentionnées dans les autres documents du framework : la Sécurité IT pour le PCI-DSS et le SIEM (Tech Tools Overview), le Juridique pour le risque réglementaire (Executive Q&amp;A), et la Direction exécutive pour le sponsorship (prérequis RGPD).</w:t>
      </w:r>
    </w:p>
    <w:p>
      <w:pPr>
        <w:pStyle w:val="Heading2"/>
        <w:spacing w:after="80" w:before="160"/>
      </w:pPr>
      <w:r>
        <w:rPr>
          <w:rFonts w:ascii="Arial" w:cs="Arial" w:eastAsia="Arial" w:hAnsi="Arial"/>
          <w:b/>
          <w:bCs/>
          <w:color w:val="1DB954"/>
          <w:sz w:val="20"/>
          <w:szCs w:val="20"/>
        </w:rPr>
        <w:t xml:space="preserve">« Pourquoi ces quatre départements de Data Stewards et pas d'autres ? »</w:t>
      </w:r>
    </w:p>
    <w:p>
      <w:pPr>
        <w:spacing w:after="100" w:line="260"/>
        <w:jc w:val="both"/>
      </w:pPr>
      <w:r>
        <w:rPr>
          <w:rFonts w:ascii="Arial" w:cs="Arial" w:eastAsia="Arial" w:hAnsi="Arial"/>
          <w:sz w:val="20"/>
          <w:szCs w:val="20"/>
        </w:rPr>
        <w:t xml:space="preserve">Le Roles Template ne nomme pas de départements précis. Marketing, Produit, Finance et Paiement représentent les fonctions où la donnée est la plus stratégique chez Spotify. Le Marketing est de surcroît le département pilote retenu dans le Pilot Template, et le périmètre Paiement est imposé par les exigences PCI-DSS.</w:t>
      </w:r>
    </w:p>
    <w:p>
      <w:pPr>
        <w:pStyle w:val="Heading2"/>
        <w:spacing w:after="80" w:before="160"/>
      </w:pPr>
      <w:r>
        <w:rPr>
          <w:rFonts w:ascii="Arial" w:cs="Arial" w:eastAsia="Arial" w:hAnsi="Arial"/>
          <w:b/>
          <w:bCs/>
          <w:color w:val="1DB954"/>
          <w:sz w:val="20"/>
          <w:szCs w:val="20"/>
        </w:rPr>
        <w:t xml:space="preserve">« Pourquoi le DPO est-il sous le CDO ? »</w:t>
      </w:r>
    </w:p>
    <w:p>
      <w:pPr>
        <w:spacing w:after="100" w:line="260"/>
        <w:jc w:val="both"/>
      </w:pPr>
      <w:r>
        <w:rPr>
          <w:rFonts w:ascii="Arial" w:cs="Arial" w:eastAsia="Arial" w:hAnsi="Arial"/>
          <w:sz w:val="20"/>
          <w:szCs w:val="20"/>
        </w:rPr>
        <w:t xml:space="preserve">La relation est avant tout hiérarchique sur le plan organisationnel : le DPO rapporte au CDO, qui est responsable de la stratégie data globale. Cette relation est conforme à l'article 38 du RGPD, qui exige que le DPO rapporte au plus haut niveau de la direction — le CDO en l'occurrence.</w:t>
      </w:r>
    </w:p>
    <w:p>
      <w:pPr>
        <w:spacing w:after="100" w:line="260"/>
        <w:jc w:val="both"/>
      </w:pPr>
      <w:r>
        <w:rPr>
          <w:rFonts w:ascii="Arial" w:cs="Arial" w:eastAsia="Arial" w:hAnsi="Arial"/>
          <w:sz w:val="20"/>
          <w:szCs w:val="20"/>
        </w:rPr>
        <w:t xml:space="preserve">Cette structure hiérarchique n'entame pas l'indépendance fonctionnelle du DPO : sur les sujets de conformité RGPD/CCPA, le DPO peut refuser une instruction du CDO si celle-ci compromet sa mission de protection des données (article 38.3 RGPD). Le DPO peut donc dire non au CDO sur un traitement non conforme, tout en restant rattaché à lui sur le plan organisationnel.</w:t>
      </w:r>
    </w:p>
    <w:p>
      <w:pPr>
        <w:spacing w:after="100" w:line="260"/>
        <w:jc w:val="both"/>
      </w:pPr>
      <w:r>
        <w:rPr>
          <w:rFonts w:ascii="Arial" w:cs="Arial" w:eastAsia="Arial" w:hAnsi="Arial"/>
          <w:sz w:val="20"/>
          <w:szCs w:val="20"/>
        </w:rPr>
        <w:t xml:space="preserve">Ce double registre — hiérarchique et fonctionnellement indépendant — est la pratique standard dans les grandes entreprises tech, et c'est précisément ce que reflète l'organigramme.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2026-05-05T17:46:36.824Z</dcterms:created>
  <dcterms:modified xsi:type="dcterms:W3CDTF">2026-05-05T17:46:36.824Z</dcterms:modified>
</cp:coreProperties>
</file>

<file path=docProps/custom.xml><?xml version="1.0" encoding="utf-8"?>
<Properties xmlns="http://schemas.openxmlformats.org/officeDocument/2006/custom-properties" xmlns:vt="http://schemas.openxmlformats.org/officeDocument/2006/docPropsVTypes"/>
</file>