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917E7A" w:rsidRDefault="00000000">
      <w:pPr>
        <w:spacing w:after="60"/>
      </w:pPr>
      <w:r>
        <w:rPr>
          <w:b/>
          <w:bCs/>
          <w:sz w:val="28"/>
          <w:szCs w:val="28"/>
        </w:rPr>
        <w:t>SPOTIFY</w:t>
      </w:r>
    </w:p>
    <w:p w14:paraId="00000002" w14:textId="77777777" w:rsidR="00917E7A" w:rsidRDefault="00000000">
      <w:pPr>
        <w:spacing w:after="240"/>
      </w:pPr>
      <w:r>
        <w:rPr>
          <w:i/>
          <w:iCs/>
        </w:rPr>
        <w:t>Document interne — Évaluation de la maturité data</w:t>
      </w:r>
    </w:p>
    <w:p w14:paraId="00000003" w14:textId="77777777" w:rsidR="00917E7A" w:rsidRDefault="00000000">
      <w:pPr>
        <w:pStyle w:val="Titre"/>
        <w:spacing w:before="120" w:after="120"/>
      </w:pPr>
      <w:r>
        <w:t>Où en est Spotify sur la gouvernance des données ?</w:t>
      </w:r>
    </w:p>
    <w:p w14:paraId="00000004" w14:textId="77777777" w:rsidR="00917E7A" w:rsidRDefault="00000000">
      <w:pPr>
        <w:spacing w:after="360"/>
      </w:pPr>
      <w:r>
        <w:rPr>
          <w:i/>
          <w:iCs/>
        </w:rPr>
        <w:t>Lecture des neuf dimensions à partir du business case interne — uniquement.</w:t>
      </w:r>
    </w:p>
    <w:p w14:paraId="00000005" w14:textId="77777777" w:rsidR="00917E7A" w:rsidRDefault="00000000">
      <w:pPr>
        <w:pStyle w:val="Titre1"/>
      </w:pPr>
      <w:r>
        <w:t>1. Méthode et périmètre</w:t>
      </w:r>
    </w:p>
    <w:p w14:paraId="00000007" w14:textId="6F2FD97A" w:rsidR="00917E7A" w:rsidRDefault="00000000">
      <w:pPr>
        <w:pBdr>
          <w:top w:val="nil"/>
          <w:left w:val="nil"/>
          <w:bottom w:val="nil"/>
          <w:right w:val="nil"/>
          <w:between w:val="nil"/>
        </w:pBdr>
        <w:rPr>
          <w:color w:val="000000"/>
        </w:rPr>
      </w:pPr>
      <w:r>
        <w:rPr>
          <w:color w:val="000000"/>
        </w:rPr>
        <w:t xml:space="preserve">Cette évaluation s'appuie strictement sur le business case interne « </w:t>
      </w:r>
      <w:proofErr w:type="spellStart"/>
      <w:r>
        <w:rPr>
          <w:color w:val="000000"/>
        </w:rPr>
        <w:t>Comprehensive</w:t>
      </w:r>
      <w:proofErr w:type="spellEnd"/>
      <w:r>
        <w:rPr>
          <w:color w:val="000000"/>
        </w:rPr>
        <w:t xml:space="preserve"> Data </w:t>
      </w:r>
      <w:proofErr w:type="spellStart"/>
      <w:r>
        <w:rPr>
          <w:color w:val="000000"/>
        </w:rPr>
        <w:t>Governance</w:t>
      </w:r>
      <w:proofErr w:type="spellEnd"/>
      <w:r>
        <w:rPr>
          <w:color w:val="000000"/>
        </w:rPr>
        <w:t xml:space="preserve"> </w:t>
      </w:r>
      <w:proofErr w:type="spellStart"/>
      <w:r>
        <w:rPr>
          <w:color w:val="000000"/>
        </w:rPr>
        <w:t>Strategy</w:t>
      </w:r>
      <w:proofErr w:type="spellEnd"/>
      <w:r>
        <w:rPr>
          <w:color w:val="000000"/>
        </w:rPr>
        <w:t xml:space="preserve"> for Spotify ». Le contexte rappelé par le document plante le décor : plus de 450 millions d'utilisateurs actifs (dont 200 millions en premium), une présence dans plus de 180 pays, un moteur de recommandation au cœur du produit, et </w:t>
      </w:r>
      <w:proofErr w:type="gramStart"/>
      <w:r>
        <w:rPr>
          <w:color w:val="000000"/>
        </w:rPr>
        <w:t>une stack</w:t>
      </w:r>
      <w:proofErr w:type="gramEnd"/>
      <w:r>
        <w:rPr>
          <w:color w:val="000000"/>
        </w:rPr>
        <w:t xml:space="preserve"> qui combine data </w:t>
      </w:r>
      <w:proofErr w:type="spellStart"/>
      <w:r>
        <w:rPr>
          <w:color w:val="000000"/>
        </w:rPr>
        <w:t>lakes</w:t>
      </w:r>
      <w:proofErr w:type="spellEnd"/>
      <w:r>
        <w:rPr>
          <w:color w:val="000000"/>
        </w:rPr>
        <w:t>, bases relationnelles et stockage cloud avec du traitement temps réel.</w:t>
      </w:r>
    </w:p>
    <w:p w14:paraId="00000008" w14:textId="77777777" w:rsidR="00917E7A" w:rsidRDefault="00000000">
      <w:pPr>
        <w:pStyle w:val="Titre2"/>
      </w:pPr>
      <w:r>
        <w:t>Échelle utilisée</w:t>
      </w:r>
    </w:p>
    <w:p w14:paraId="00000009" w14:textId="77777777" w:rsidR="00917E7A" w:rsidRDefault="00000000">
      <w:pPr>
        <w:pBdr>
          <w:top w:val="nil"/>
          <w:left w:val="nil"/>
          <w:bottom w:val="nil"/>
          <w:right w:val="nil"/>
          <w:between w:val="nil"/>
        </w:pBdr>
        <w:rPr>
          <w:color w:val="000000"/>
        </w:rPr>
      </w:pPr>
      <w:r>
        <w:rPr>
          <w:color w:val="000000"/>
        </w:rPr>
        <w:t>Le business case ne propose pas d'échelle de maturité. J'en utilise une simple, en cinq niveaux, que je définis ici :</w:t>
      </w:r>
    </w:p>
    <w:p w14:paraId="0000000A" w14:textId="77777777" w:rsidR="00917E7A" w:rsidRDefault="00000000">
      <w:pPr>
        <w:pBdr>
          <w:top w:val="nil"/>
          <w:left w:val="nil"/>
          <w:bottom w:val="nil"/>
          <w:right w:val="nil"/>
          <w:between w:val="nil"/>
        </w:pBdr>
        <w:rPr>
          <w:color w:val="000000"/>
        </w:rPr>
      </w:pPr>
      <w:r>
        <w:rPr>
          <w:b/>
          <w:bCs/>
          <w:color w:val="000000"/>
        </w:rPr>
        <w:t xml:space="preserve">1 — Inexistant. </w:t>
      </w:r>
      <w:r>
        <w:rPr>
          <w:color w:val="000000"/>
        </w:rPr>
        <w:t>Le sujet n'est pas évoqué dans le cadre actuel.</w:t>
      </w:r>
    </w:p>
    <w:p w14:paraId="0000000B" w14:textId="77777777" w:rsidR="00917E7A" w:rsidRDefault="00000000">
      <w:pPr>
        <w:pBdr>
          <w:top w:val="nil"/>
          <w:left w:val="nil"/>
          <w:bottom w:val="nil"/>
          <w:right w:val="nil"/>
          <w:between w:val="nil"/>
        </w:pBdr>
        <w:rPr>
          <w:color w:val="000000"/>
        </w:rPr>
      </w:pPr>
      <w:r>
        <w:rPr>
          <w:b/>
          <w:bCs/>
          <w:color w:val="000000"/>
        </w:rPr>
        <w:t xml:space="preserve">2 — Identifié. </w:t>
      </w:r>
      <w:r>
        <w:rPr>
          <w:color w:val="000000"/>
        </w:rPr>
        <w:t>Le problème est nommé, l'enjeu est posé, mais aucune réponse structurée n'est en place.</w:t>
      </w:r>
    </w:p>
    <w:p w14:paraId="0000000C" w14:textId="77777777" w:rsidR="00917E7A" w:rsidRDefault="00000000">
      <w:pPr>
        <w:pBdr>
          <w:top w:val="nil"/>
          <w:left w:val="nil"/>
          <w:bottom w:val="nil"/>
          <w:right w:val="nil"/>
          <w:between w:val="nil"/>
        </w:pBdr>
        <w:rPr>
          <w:color w:val="000000"/>
        </w:rPr>
      </w:pPr>
      <w:r>
        <w:rPr>
          <w:b/>
          <w:bCs/>
          <w:color w:val="000000"/>
        </w:rPr>
        <w:t xml:space="preserve">3 — Cadré. </w:t>
      </w:r>
      <w:r>
        <w:rPr>
          <w:color w:val="000000"/>
        </w:rPr>
        <w:t>Le document décrit ce qu'il faut faire (objectifs, rôles, principes), mais l'exécution reste à venir.</w:t>
      </w:r>
    </w:p>
    <w:p w14:paraId="0000000D" w14:textId="77777777" w:rsidR="00917E7A" w:rsidRDefault="00000000">
      <w:pPr>
        <w:pBdr>
          <w:top w:val="nil"/>
          <w:left w:val="nil"/>
          <w:bottom w:val="nil"/>
          <w:right w:val="nil"/>
          <w:between w:val="nil"/>
        </w:pBdr>
        <w:rPr>
          <w:color w:val="000000"/>
        </w:rPr>
      </w:pPr>
      <w:r>
        <w:rPr>
          <w:b/>
          <w:bCs/>
          <w:color w:val="000000"/>
        </w:rPr>
        <w:t xml:space="preserve">4 — En déploiement. </w:t>
      </w:r>
      <w:r>
        <w:rPr>
          <w:color w:val="000000"/>
        </w:rPr>
        <w:t>Les dispositifs sont en cours de mise en œuvre, avec un pilote ou des actions concrètes engagées.</w:t>
      </w:r>
    </w:p>
    <w:p w14:paraId="0000000E" w14:textId="77777777" w:rsidR="00917E7A" w:rsidRDefault="00000000">
      <w:pPr>
        <w:pBdr>
          <w:top w:val="nil"/>
          <w:left w:val="nil"/>
          <w:bottom w:val="nil"/>
          <w:right w:val="nil"/>
          <w:between w:val="nil"/>
        </w:pBdr>
        <w:rPr>
          <w:color w:val="000000"/>
        </w:rPr>
      </w:pPr>
      <w:r>
        <w:rPr>
          <w:b/>
          <w:bCs/>
          <w:color w:val="000000"/>
        </w:rPr>
        <w:t xml:space="preserve">5 — Opérationnel. </w:t>
      </w:r>
      <w:r>
        <w:rPr>
          <w:color w:val="000000"/>
        </w:rPr>
        <w:t>Les pratiques tournent, sont mesurées, et font partie du quotidien des équipes.</w:t>
      </w:r>
    </w:p>
    <w:p w14:paraId="0000000F" w14:textId="77777777" w:rsidR="00917E7A" w:rsidRDefault="00000000">
      <w:pPr>
        <w:pBdr>
          <w:top w:val="nil"/>
          <w:left w:val="nil"/>
          <w:bottom w:val="nil"/>
          <w:right w:val="nil"/>
          <w:between w:val="nil"/>
        </w:pBdr>
        <w:rPr>
          <w:color w:val="000000"/>
        </w:rPr>
      </w:pPr>
      <w:r>
        <w:rPr>
          <w:color w:val="000000"/>
        </w:rPr>
        <w:t>À noter que le business case décrit un projet à lancer, pas un état déjà déployé. La plupart des notes plafonnent donc autour de 2-3 — ce qui est cohérent avec la nature du document.</w:t>
      </w:r>
    </w:p>
    <w:p w14:paraId="00000010" w14:textId="77777777" w:rsidR="00917E7A" w:rsidRDefault="00000000">
      <w:pPr>
        <w:pStyle w:val="Titre1"/>
      </w:pPr>
      <w:r>
        <w:t>2. Ce qu'il faut retenir</w:t>
      </w:r>
    </w:p>
    <w:p w14:paraId="00000011" w14:textId="700151B7" w:rsidR="00917E7A" w:rsidRDefault="00000000">
      <w:r>
        <w:t>On regarde Spotify sur les neuf dimensions classiques de la gouvernance des données. Le verdict tient en une ligne : le business case identifie clairement les problèmes et pose un cadre cohérent.</w:t>
      </w:r>
    </w:p>
    <w:p w14:paraId="00000012" w14:textId="189C771B" w:rsidR="00917E7A" w:rsidRDefault="00000000">
      <w:r>
        <w:t xml:space="preserve">Trois dimensions sont vraiment cadrées par le document : Gouvernance, Conformité, Intégration. Trois autres sont identifiées mais peu structurées : Qualité, Accessibilité, </w:t>
      </w:r>
      <w:proofErr w:type="spellStart"/>
      <w:r>
        <w:t>Literacy</w:t>
      </w:r>
      <w:proofErr w:type="spellEnd"/>
      <w:r>
        <w:t xml:space="preserve">. </w:t>
      </w:r>
      <w:r w:rsidR="00D3029E">
        <w:t xml:space="preserve">Le </w:t>
      </w:r>
      <w:r>
        <w:t>document</w:t>
      </w:r>
      <w:r w:rsidR="00D3029E">
        <w:t xml:space="preserve"> </w:t>
      </w:r>
      <w:r>
        <w:t>évoque sans entrer dans le détail : Architecture, Sécurité, Analytics. Score moyen : autour de 2,3 sur 5, à mi-chemin entre Identifié et Cadré.</w:t>
      </w:r>
    </w:p>
    <w:p w14:paraId="00000013" w14:textId="77777777" w:rsidR="00917E7A" w:rsidRDefault="00000000">
      <w:pPr>
        <w:pStyle w:val="Titre1"/>
      </w:pPr>
      <w:r>
        <w:t>3. Dimension par dimension</w:t>
      </w:r>
    </w:p>
    <w:p w14:paraId="00000014" w14:textId="77777777" w:rsidR="00917E7A" w:rsidRDefault="00000000">
      <w:pPr>
        <w:pStyle w:val="Titre2"/>
      </w:pPr>
      <w:r>
        <w:t xml:space="preserve">3.1 Data </w:t>
      </w:r>
      <w:proofErr w:type="spellStart"/>
      <w:r>
        <w:t>Governance</w:t>
      </w:r>
      <w:proofErr w:type="spellEnd"/>
    </w:p>
    <w:p w14:paraId="00000015" w14:textId="200B580D" w:rsidR="00917E7A" w:rsidRDefault="00000000">
      <w:pPr>
        <w:pBdr>
          <w:top w:val="nil"/>
          <w:left w:val="nil"/>
          <w:bottom w:val="nil"/>
          <w:right w:val="nil"/>
          <w:between w:val="nil"/>
        </w:pBdr>
        <w:rPr>
          <w:color w:val="000000"/>
        </w:rPr>
      </w:pPr>
      <w:r>
        <w:rPr>
          <w:b/>
          <w:bCs/>
          <w:color w:val="000000"/>
        </w:rPr>
        <w:t>Score : 3 Cadré.</w:t>
      </w:r>
      <w:r>
        <w:rPr>
          <w:color w:val="000000"/>
        </w:rPr>
        <w:t xml:space="preserve"> C'est la dimension la mieux traitée, ce qui est logique : c'est le sujet du document. L'objectif est posé sans ambiguïté</w:t>
      </w:r>
      <w:r w:rsidR="000C273B">
        <w:rPr>
          <w:color w:val="000000"/>
        </w:rPr>
        <w:t>. U</w:t>
      </w:r>
      <w:r>
        <w:rPr>
          <w:color w:val="000000"/>
        </w:rPr>
        <w:t xml:space="preserve">n </w:t>
      </w:r>
      <w:proofErr w:type="spellStart"/>
      <w:r>
        <w:rPr>
          <w:color w:val="000000"/>
        </w:rPr>
        <w:t>framework</w:t>
      </w:r>
      <w:proofErr w:type="spellEnd"/>
      <w:r>
        <w:rPr>
          <w:color w:val="000000"/>
        </w:rPr>
        <w:t xml:space="preserve"> unifié qui couvre </w:t>
      </w:r>
      <w:proofErr w:type="spellStart"/>
      <w:r>
        <w:rPr>
          <w:color w:val="000000"/>
        </w:rPr>
        <w:t>policies</w:t>
      </w:r>
      <w:proofErr w:type="spellEnd"/>
      <w:r>
        <w:rPr>
          <w:color w:val="000000"/>
        </w:rPr>
        <w:t>, procédures et outils, applicable à tous les départements et toutes les régions, suffisamment flexible pour suivre les évolutions réglementaires.</w:t>
      </w:r>
    </w:p>
    <w:p w14:paraId="00000016" w14:textId="77777777" w:rsidR="00917E7A" w:rsidRDefault="00000000">
      <w:pPr>
        <w:pBdr>
          <w:top w:val="nil"/>
          <w:left w:val="nil"/>
          <w:bottom w:val="nil"/>
          <w:right w:val="nil"/>
          <w:between w:val="nil"/>
        </w:pBdr>
        <w:rPr>
          <w:color w:val="000000"/>
        </w:rPr>
      </w:pPr>
      <w:r>
        <w:rPr>
          <w:color w:val="000000"/>
        </w:rPr>
        <w:t xml:space="preserve">Six rôles sont nommés et leurs responsabilités décrites : DPO (point de contact avec les régulateurs, audits, formation), CDO (stratégie data globale, qualité, </w:t>
      </w:r>
      <w:proofErr w:type="spellStart"/>
      <w:r>
        <w:rPr>
          <w:color w:val="000000"/>
        </w:rPr>
        <w:t>analytics</w:t>
      </w:r>
      <w:proofErr w:type="spellEnd"/>
      <w:r>
        <w:rPr>
          <w:color w:val="000000"/>
        </w:rPr>
        <w:t xml:space="preserve">), Head of Engineering (infra </w:t>
      </w:r>
      <w:r>
        <w:rPr>
          <w:color w:val="000000"/>
        </w:rPr>
        <w:lastRenderedPageBreak/>
        <w:t xml:space="preserve">technique, scalabilité, sécurité), Marketing Director (usages marketing conformes), Legal Team (conseil juridique, gestion des risques) et Product Managers (qualité des données produit, conformité des </w:t>
      </w:r>
      <w:proofErr w:type="spellStart"/>
      <w:r>
        <w:rPr>
          <w:color w:val="000000"/>
        </w:rPr>
        <w:t>features</w:t>
      </w:r>
      <w:proofErr w:type="spellEnd"/>
      <w:r>
        <w:rPr>
          <w:color w:val="000000"/>
        </w:rPr>
        <w:t>).</w:t>
      </w:r>
    </w:p>
    <w:p w14:paraId="00000017" w14:textId="77777777" w:rsidR="00917E7A" w:rsidRDefault="00000000">
      <w:pPr>
        <w:pBdr>
          <w:top w:val="nil"/>
          <w:left w:val="nil"/>
          <w:bottom w:val="nil"/>
          <w:right w:val="nil"/>
          <w:between w:val="nil"/>
        </w:pBdr>
        <w:rPr>
          <w:color w:val="000000"/>
        </w:rPr>
      </w:pPr>
      <w:r>
        <w:rPr>
          <w:color w:val="000000"/>
        </w:rPr>
        <w:t xml:space="preserve">La création d'un Data </w:t>
      </w:r>
      <w:proofErr w:type="spellStart"/>
      <w:r>
        <w:rPr>
          <w:color w:val="000000"/>
        </w:rPr>
        <w:t>Governance</w:t>
      </w:r>
      <w:proofErr w:type="spellEnd"/>
      <w:r>
        <w:rPr>
          <w:color w:val="000000"/>
        </w:rPr>
        <w:t xml:space="preserve"> </w:t>
      </w:r>
      <w:proofErr w:type="spellStart"/>
      <w:r>
        <w:rPr>
          <w:color w:val="000000"/>
        </w:rPr>
        <w:t>Committee</w:t>
      </w:r>
      <w:proofErr w:type="spellEnd"/>
      <w:r>
        <w:rPr>
          <w:color w:val="000000"/>
        </w:rPr>
        <w:t xml:space="preserve"> transverse est explicitement envisagée, avec des Data Stewards par jeu de données. Le cadre conceptuel est là. Ce qu'on ne sait pas encore : comment ça s'opère au quotidien, à quelle cadence le comité se réunit, et comment on mesure que ça fonctionne.</w:t>
      </w:r>
    </w:p>
    <w:p w14:paraId="00000018" w14:textId="77777777" w:rsidR="00917E7A" w:rsidRDefault="00000000">
      <w:pPr>
        <w:pStyle w:val="Titre2"/>
      </w:pPr>
      <w:r>
        <w:t xml:space="preserve">3.2 Data </w:t>
      </w:r>
      <w:proofErr w:type="spellStart"/>
      <w:r>
        <w:t>Quality</w:t>
      </w:r>
      <w:proofErr w:type="spellEnd"/>
    </w:p>
    <w:p w14:paraId="00000019" w14:textId="3D7EE6AC" w:rsidR="00917E7A" w:rsidRDefault="00000000">
      <w:pPr>
        <w:spacing w:after="160" w:line="300" w:lineRule="auto"/>
      </w:pPr>
      <w:r>
        <w:rPr>
          <w:b/>
          <w:bCs/>
        </w:rPr>
        <w:t xml:space="preserve">Score : </w:t>
      </w:r>
      <w:r w:rsidR="000C273B">
        <w:rPr>
          <w:b/>
          <w:bCs/>
        </w:rPr>
        <w:t>2 Identifié</w:t>
      </w:r>
      <w:r>
        <w:rPr>
          <w:b/>
          <w:bCs/>
        </w:rPr>
        <w:t>.</w:t>
      </w:r>
      <w:r>
        <w:t xml:space="preserve"> Le document consacre une section entière au sujet et le lien avec le produit est clairement établi : si la qualité des données est mauvaise, le moteur de recommandation déraille </w:t>
      </w:r>
      <w:r w:rsidR="000C273B">
        <w:t xml:space="preserve">avec des </w:t>
      </w:r>
      <w:r>
        <w:t>préférences utilisateurs incorrectes, métadonnées obsolètes</w:t>
      </w:r>
      <w:r w:rsidR="000C273B">
        <w:t>. Par conséquent,</w:t>
      </w:r>
      <w:r>
        <w:t xml:space="preserve"> Spotify perd des utilisateurs au profit d'Apple Music, Amazon Music </w:t>
      </w:r>
      <w:r w:rsidR="000C273B">
        <w:t>ou Deezer</w:t>
      </w:r>
      <w:r>
        <w:t>. L'enjeu est donc business, pas technique.</w:t>
      </w:r>
    </w:p>
    <w:p w14:paraId="0000001A" w14:textId="77777777" w:rsidR="00917E7A" w:rsidRDefault="00000000">
      <w:pPr>
        <w:spacing w:after="160" w:line="300" w:lineRule="auto"/>
      </w:pPr>
      <w:r>
        <w:t xml:space="preserve">Une initiative est prévue dans le scope : data </w:t>
      </w:r>
      <w:proofErr w:type="spellStart"/>
      <w:r>
        <w:t>cleansing</w:t>
      </w:r>
      <w:proofErr w:type="spellEnd"/>
      <w:r>
        <w:t>, validation, standardisation, monitoring continu, formation des équipes aux bonnes pratiques. Avec une vigilance particulière sur les jeux de données qui touchent directement à l'expérience utilisateur (algorithmes de reco, métadonnées de contenu).</w:t>
      </w:r>
    </w:p>
    <w:p w14:paraId="0000001B" w14:textId="4B3C18EB" w:rsidR="00917E7A" w:rsidRDefault="00000000">
      <w:pPr>
        <w:spacing w:after="160" w:line="300" w:lineRule="auto"/>
      </w:pPr>
      <w:r>
        <w:t>En revanche, aucune métrique de qualité n'est définie dans le document, aucun seuil cible n'est évoqué, et aucun référentiel de qualité n'est posé. On sait que c'est important</w:t>
      </w:r>
      <w:r w:rsidR="000C273B">
        <w:t xml:space="preserve"> mais </w:t>
      </w:r>
      <w:r>
        <w:t>on ne sait pas encore à quoi ressemble la cible.</w:t>
      </w:r>
      <w:r w:rsidR="000C273B">
        <w:t xml:space="preserve"> </w:t>
      </w:r>
    </w:p>
    <w:p w14:paraId="0000001C" w14:textId="77777777" w:rsidR="00917E7A" w:rsidRDefault="00000000">
      <w:pPr>
        <w:pStyle w:val="Titre2"/>
      </w:pPr>
      <w:r>
        <w:t>3.3 Data Architecture</w:t>
      </w:r>
    </w:p>
    <w:p w14:paraId="0000001D" w14:textId="7517B860" w:rsidR="00917E7A" w:rsidRDefault="00000000">
      <w:pPr>
        <w:spacing w:after="160" w:line="300" w:lineRule="auto"/>
      </w:pPr>
      <w:r>
        <w:rPr>
          <w:b/>
          <w:bCs/>
        </w:rPr>
        <w:t>Score : 2 Identifié.</w:t>
      </w:r>
      <w:r>
        <w:t xml:space="preserve"> Le document décrit l'existant en trois lignes : une combinaison de data </w:t>
      </w:r>
      <w:proofErr w:type="spellStart"/>
      <w:r>
        <w:t>lakes</w:t>
      </w:r>
      <w:proofErr w:type="spellEnd"/>
      <w:r>
        <w:t>, de bases relationnelles et de stockage cloud, avec ingestion, traitement et analyse en temps réel. C'est tout ce qu'il dit côté architecture.</w:t>
      </w:r>
    </w:p>
    <w:p w14:paraId="0000001E" w14:textId="77777777" w:rsidR="00917E7A" w:rsidRDefault="00000000">
      <w:pPr>
        <w:spacing w:after="160" w:line="300" w:lineRule="auto"/>
      </w:pPr>
      <w:r>
        <w:t xml:space="preserve">Aucune architecture cible n'est dessinée, aucune cartographie des flux n'est proposée, aucun choix structurant n'est arbitré (centralisation vs. </w:t>
      </w:r>
      <w:proofErr w:type="gramStart"/>
      <w:r>
        <w:t>fédération</w:t>
      </w:r>
      <w:proofErr w:type="gramEnd"/>
      <w:r>
        <w:t>, plateforme commune, etc.). Le business case parle abondamment de ce qu'il faut accomplir avec l'architecture (casser les silos, intégrer, sécuriser) sans jamais entrer dans le « comment » technique. C'est cohérent avec la nature du document — c'est un business case, pas un dossier d'architecture — mais ça veut dire que cette dimension reste largement à instruire.</w:t>
      </w:r>
    </w:p>
    <w:p w14:paraId="0000001F" w14:textId="77777777" w:rsidR="00917E7A" w:rsidRDefault="00000000">
      <w:pPr>
        <w:pStyle w:val="Titre2"/>
      </w:pPr>
      <w:r>
        <w:t>3.4 Compliance (GDPR, CCPA, PCI-DSS)</w:t>
      </w:r>
    </w:p>
    <w:p w14:paraId="00000020" w14:textId="3B88E9EA" w:rsidR="00917E7A" w:rsidRDefault="00000000">
      <w:pPr>
        <w:spacing w:after="160" w:line="300" w:lineRule="auto"/>
      </w:pPr>
      <w:r>
        <w:rPr>
          <w:b/>
          <w:bCs/>
        </w:rPr>
        <w:t>Score : 3 Cadré.</w:t>
      </w:r>
      <w:r>
        <w:t xml:space="preserve"> La conformité est traitée avec un niveau de détail qui contraste avec le reste. Le document cite explicitement le RGPD (UE), le CCPA (Californie) et la PDPA (Singapour). Il rappelle les obligations clés : consentement explicite avant traitement, droit d'accès et de suppression, notification des violations sous 72 heures.</w:t>
      </w:r>
    </w:p>
    <w:p w14:paraId="00000021" w14:textId="77777777" w:rsidR="00917E7A" w:rsidRDefault="00000000">
      <w:pPr>
        <w:spacing w:after="160" w:line="300" w:lineRule="auto"/>
      </w:pPr>
      <w:r>
        <w:lastRenderedPageBreak/>
        <w:t>Les sanctions sont chiffrées : jusqu'à 20 millions d'euros ou 4 % du chiffre d'affaires annuel mondial sous RGPD, sans compter le risque réputationnel et les contentieux. Pour une boîte présente dans 180 pays, c'est un sujet qui se gère ou qui plante la maison.</w:t>
      </w:r>
    </w:p>
    <w:p w14:paraId="00000022" w14:textId="36599746" w:rsidR="00917E7A" w:rsidRDefault="00000000">
      <w:pPr>
        <w:spacing w:after="160" w:line="300" w:lineRule="auto"/>
      </w:pPr>
      <w:r>
        <w:t xml:space="preserve">Le scope projet prévoit la mise à jour des politiques de confidentialité, le recueil de consentement explicite, l'implémentation de techniques d'anonymisation et des audits réguliers. La création d'une </w:t>
      </w:r>
      <w:proofErr w:type="spellStart"/>
      <w:r>
        <w:t>Privacy</w:t>
      </w:r>
      <w:proofErr w:type="spellEnd"/>
      <w:r>
        <w:t xml:space="preserve"> Team dédiée est envisagée. </w:t>
      </w:r>
      <w:r w:rsidR="003F5930">
        <w:t>Le</w:t>
      </w:r>
      <w:r>
        <w:t xml:space="preserve"> cadre est posé proprement </w:t>
      </w:r>
      <w:r w:rsidR="003F5930">
        <w:t>mais ils</w:t>
      </w:r>
      <w:r>
        <w:t xml:space="preserve"> restent les modalités opérationnelles : workflows de réponse aux demandes utilisateurs, cadence des audits, indicateurs de couverture.</w:t>
      </w:r>
    </w:p>
    <w:p w14:paraId="00000023" w14:textId="260D3BB6" w:rsidR="00917E7A" w:rsidRDefault="00000000">
      <w:pPr>
        <w:spacing w:after="160" w:line="300" w:lineRule="auto"/>
      </w:pPr>
      <w:r>
        <w:rPr>
          <w:i/>
          <w:iCs/>
        </w:rPr>
        <w:t>Note : le PCI-DSS figure dans l'intitulé de la dimension (cohérence avec le périmètre paiement de Spotify) mais n'est pas cité explicitement dans le business case.</w:t>
      </w:r>
    </w:p>
    <w:p w14:paraId="00000024" w14:textId="77777777" w:rsidR="00917E7A" w:rsidRDefault="00000000">
      <w:pPr>
        <w:pStyle w:val="Titre2"/>
      </w:pPr>
      <w:r>
        <w:t xml:space="preserve">3.5 Data Usage &amp; </w:t>
      </w:r>
      <w:proofErr w:type="spellStart"/>
      <w:r>
        <w:t>Accessibility</w:t>
      </w:r>
      <w:proofErr w:type="spellEnd"/>
    </w:p>
    <w:p w14:paraId="00000025" w14:textId="169E0ADE" w:rsidR="00917E7A" w:rsidRDefault="00000000">
      <w:pPr>
        <w:pBdr>
          <w:top w:val="nil"/>
          <w:left w:val="nil"/>
          <w:bottom w:val="nil"/>
          <w:right w:val="nil"/>
          <w:between w:val="nil"/>
        </w:pBdr>
        <w:rPr>
          <w:color w:val="000000"/>
        </w:rPr>
      </w:pPr>
      <w:r>
        <w:rPr>
          <w:b/>
          <w:bCs/>
          <w:color w:val="000000"/>
        </w:rPr>
        <w:t>Score : 2 Identifié.</w:t>
      </w:r>
      <w:r>
        <w:rPr>
          <w:color w:val="000000"/>
        </w:rPr>
        <w:t xml:space="preserve"> Le document décrit le problème avec précision : sans </w:t>
      </w:r>
      <w:proofErr w:type="spellStart"/>
      <w:r>
        <w:rPr>
          <w:color w:val="000000"/>
        </w:rPr>
        <w:t>framework</w:t>
      </w:r>
      <w:proofErr w:type="spellEnd"/>
      <w:r>
        <w:rPr>
          <w:color w:val="000000"/>
        </w:rPr>
        <w:t xml:space="preserve"> unifié, accéder à la bonne donnée au bon moment devient difficile, ce qui crée des goulots d'étranglement et freine la prise de décision. </w:t>
      </w:r>
      <w:r w:rsidR="003F5930">
        <w:rPr>
          <w:color w:val="000000"/>
        </w:rPr>
        <w:t>L</w:t>
      </w:r>
      <w:r>
        <w:rPr>
          <w:color w:val="000000"/>
        </w:rPr>
        <w:t xml:space="preserve">ancer une </w:t>
      </w:r>
      <w:proofErr w:type="spellStart"/>
      <w:r>
        <w:rPr>
          <w:color w:val="000000"/>
        </w:rPr>
        <w:t>feature</w:t>
      </w:r>
      <w:proofErr w:type="spellEnd"/>
      <w:r>
        <w:rPr>
          <w:color w:val="000000"/>
        </w:rPr>
        <w:t xml:space="preserve"> de playlist personnalisée nécessite de croiser habitudes d'écoute et engagement social</w:t>
      </w:r>
      <w:r w:rsidR="003F5930">
        <w:rPr>
          <w:color w:val="000000"/>
        </w:rPr>
        <w:t xml:space="preserve"> et cet exemple</w:t>
      </w:r>
      <w:r>
        <w:rPr>
          <w:color w:val="000000"/>
        </w:rPr>
        <w:t xml:space="preserve"> illustre bien le coût opérationnel des silos.</w:t>
      </w:r>
    </w:p>
    <w:p w14:paraId="00000026" w14:textId="77777777" w:rsidR="00917E7A" w:rsidRDefault="00000000">
      <w:pPr>
        <w:pBdr>
          <w:top w:val="nil"/>
          <w:left w:val="nil"/>
          <w:bottom w:val="nil"/>
          <w:right w:val="nil"/>
          <w:between w:val="nil"/>
        </w:pBdr>
        <w:rPr>
          <w:color w:val="000000"/>
        </w:rPr>
      </w:pPr>
      <w:r>
        <w:rPr>
          <w:color w:val="000000"/>
        </w:rPr>
        <w:t>L'objectif est posé : rendre la donnée accessible aux bonnes personnes au bon moment, tout en gardant la sécurité et la confidentialité. Une condition explicite à la culture data-</w:t>
      </w:r>
      <w:proofErr w:type="spellStart"/>
      <w:r>
        <w:rPr>
          <w:color w:val="000000"/>
        </w:rPr>
        <w:t>driven</w:t>
      </w:r>
      <w:proofErr w:type="spellEnd"/>
      <w:r>
        <w:rPr>
          <w:color w:val="000000"/>
        </w:rPr>
        <w:t xml:space="preserve"> que Spotify revendique.</w:t>
      </w:r>
    </w:p>
    <w:p w14:paraId="00000027" w14:textId="77777777" w:rsidR="00917E7A" w:rsidRDefault="00000000">
      <w:pPr>
        <w:pBdr>
          <w:top w:val="nil"/>
          <w:left w:val="nil"/>
          <w:bottom w:val="nil"/>
          <w:right w:val="nil"/>
          <w:between w:val="nil"/>
        </w:pBdr>
        <w:rPr>
          <w:color w:val="000000"/>
        </w:rPr>
      </w:pPr>
      <w:r>
        <w:rPr>
          <w:color w:val="000000"/>
        </w:rPr>
        <w:t>Ce qui manque : aucun catalogue de données n'est mentionné, aucun glossaire métier n'est prévu, aucun mécanisme de découvrabilité n'est décrit. Le « comment on rend la donnée accessible » reste à construire.</w:t>
      </w:r>
    </w:p>
    <w:p w14:paraId="00000028" w14:textId="77777777" w:rsidR="00917E7A" w:rsidRDefault="00000000">
      <w:pPr>
        <w:pStyle w:val="Titre2"/>
      </w:pPr>
      <w:r>
        <w:t>3.6 Data Security</w:t>
      </w:r>
    </w:p>
    <w:p w14:paraId="00000029" w14:textId="75E7E25D" w:rsidR="00917E7A" w:rsidRDefault="00000000">
      <w:pPr>
        <w:pBdr>
          <w:top w:val="nil"/>
          <w:left w:val="nil"/>
          <w:bottom w:val="nil"/>
          <w:right w:val="nil"/>
          <w:between w:val="nil"/>
        </w:pBdr>
        <w:rPr>
          <w:color w:val="000000"/>
        </w:rPr>
      </w:pPr>
      <w:r>
        <w:rPr>
          <w:b/>
          <w:bCs/>
          <w:color w:val="000000"/>
        </w:rPr>
        <w:t>Score : 2 — Identifié.</w:t>
      </w:r>
      <w:r>
        <w:rPr>
          <w:color w:val="000000"/>
        </w:rPr>
        <w:t xml:space="preserve"> La sécurité revient régulièrement dans le document </w:t>
      </w:r>
      <w:r w:rsidR="003F5930">
        <w:rPr>
          <w:color w:val="000000"/>
        </w:rPr>
        <w:t xml:space="preserve">et c’est un </w:t>
      </w:r>
      <w:r>
        <w:rPr>
          <w:color w:val="000000"/>
        </w:rPr>
        <w:t xml:space="preserve">objectif (« data </w:t>
      </w:r>
      <w:proofErr w:type="spellStart"/>
      <w:r>
        <w:rPr>
          <w:color w:val="000000"/>
        </w:rPr>
        <w:t>is</w:t>
      </w:r>
      <w:proofErr w:type="spellEnd"/>
      <w:r>
        <w:rPr>
          <w:color w:val="000000"/>
        </w:rPr>
        <w:t xml:space="preserve"> </w:t>
      </w:r>
      <w:proofErr w:type="spellStart"/>
      <w:r>
        <w:rPr>
          <w:color w:val="000000"/>
        </w:rPr>
        <w:t>secure</w:t>
      </w:r>
      <w:proofErr w:type="spellEnd"/>
      <w:r>
        <w:rPr>
          <w:color w:val="000000"/>
        </w:rPr>
        <w:t xml:space="preserve"> »), comme </w:t>
      </w:r>
      <w:r w:rsidR="003F5930">
        <w:rPr>
          <w:color w:val="000000"/>
        </w:rPr>
        <w:t xml:space="preserve">la </w:t>
      </w:r>
      <w:r>
        <w:rPr>
          <w:color w:val="000000"/>
        </w:rPr>
        <w:t xml:space="preserve">responsabilité (Head of Engineering), comme </w:t>
      </w:r>
      <w:r w:rsidR="003F5930">
        <w:rPr>
          <w:color w:val="000000"/>
        </w:rPr>
        <w:t xml:space="preserve">une </w:t>
      </w:r>
      <w:r>
        <w:rPr>
          <w:color w:val="000000"/>
        </w:rPr>
        <w:t xml:space="preserve">contrainte (notification des </w:t>
      </w:r>
      <w:proofErr w:type="spellStart"/>
      <w:r>
        <w:rPr>
          <w:color w:val="000000"/>
        </w:rPr>
        <w:t>breaches</w:t>
      </w:r>
      <w:proofErr w:type="spellEnd"/>
      <w:r>
        <w:rPr>
          <w:color w:val="000000"/>
        </w:rPr>
        <w:t xml:space="preserve"> sous 72h sous RGPD). Mais elle n'a pas de section dédiée et reste traitée par mention plutôt que par plan.</w:t>
      </w:r>
    </w:p>
    <w:p w14:paraId="0000002A" w14:textId="77777777" w:rsidR="00917E7A" w:rsidRDefault="00000000">
      <w:pPr>
        <w:pBdr>
          <w:top w:val="nil"/>
          <w:left w:val="nil"/>
          <w:bottom w:val="nil"/>
          <w:right w:val="nil"/>
          <w:between w:val="nil"/>
        </w:pBdr>
        <w:rPr>
          <w:color w:val="000000"/>
        </w:rPr>
      </w:pPr>
      <w:r>
        <w:rPr>
          <w:color w:val="000000"/>
        </w:rPr>
        <w:t>Le document évoque le besoin de sécuriser les données « à chaque étape du traitement », notamment dans le contexte des systèmes d'IA et de traitement à grande échelle. Il mentionne aussi la prévention des biais algorithmiques et l'explicabilité des systèmes IA comme des enjeux à intégrer.</w:t>
      </w:r>
    </w:p>
    <w:p w14:paraId="0000002B" w14:textId="77777777" w:rsidR="00917E7A" w:rsidRDefault="00000000">
      <w:pPr>
        <w:pBdr>
          <w:top w:val="nil"/>
          <w:left w:val="nil"/>
          <w:bottom w:val="nil"/>
          <w:right w:val="nil"/>
          <w:between w:val="nil"/>
        </w:pBdr>
        <w:rPr>
          <w:color w:val="000000"/>
        </w:rPr>
      </w:pPr>
      <w:r>
        <w:rPr>
          <w:color w:val="000000"/>
        </w:rPr>
        <w:t xml:space="preserve">En revanche, pas de politique de classification des données, pas de modèle de contrôle d'accès, pas de plan de réponse aux incidents </w:t>
      </w:r>
      <w:r>
        <w:t>détaillés</w:t>
      </w:r>
      <w:r>
        <w:rPr>
          <w:color w:val="000000"/>
        </w:rPr>
        <w:t>. Pour une plateforme qui traite paiements, données démographiques et comportements détaillés de 450M d'utilisateurs, c'est le point qui mérite probablement le plus d'attention en complément du business case.</w:t>
      </w:r>
    </w:p>
    <w:p w14:paraId="0000002C" w14:textId="77777777" w:rsidR="00917E7A" w:rsidRDefault="00000000">
      <w:pPr>
        <w:pStyle w:val="Titre2"/>
      </w:pPr>
      <w:r>
        <w:t xml:space="preserve">3.7 Data </w:t>
      </w:r>
      <w:proofErr w:type="spellStart"/>
      <w:r>
        <w:t>Literacy</w:t>
      </w:r>
      <w:proofErr w:type="spellEnd"/>
    </w:p>
    <w:p w14:paraId="0000002D" w14:textId="77777777" w:rsidR="00917E7A" w:rsidRDefault="00000000">
      <w:pPr>
        <w:pBdr>
          <w:top w:val="nil"/>
          <w:left w:val="nil"/>
          <w:bottom w:val="nil"/>
          <w:right w:val="nil"/>
          <w:between w:val="nil"/>
        </w:pBdr>
        <w:rPr>
          <w:color w:val="000000"/>
        </w:rPr>
      </w:pPr>
      <w:r>
        <w:rPr>
          <w:b/>
          <w:bCs/>
          <w:color w:val="000000"/>
        </w:rPr>
        <w:t>Score : 2 — Identifié.</w:t>
      </w:r>
      <w:r>
        <w:rPr>
          <w:color w:val="000000"/>
        </w:rPr>
        <w:t xml:space="preserve"> Le document consacre une section à la culture data interne. Le constat : la culture data-</w:t>
      </w:r>
      <w:proofErr w:type="spellStart"/>
      <w:r>
        <w:rPr>
          <w:color w:val="000000"/>
        </w:rPr>
        <w:t>driven</w:t>
      </w:r>
      <w:proofErr w:type="spellEnd"/>
      <w:r>
        <w:rPr>
          <w:color w:val="000000"/>
        </w:rPr>
        <w:t xml:space="preserve"> est un avantage compétitif, mais elle ne se résume pas à l'accès aux données — elle suppose une compréhension partagée des principes de gouvernance, un engagement sur la qualité, et une responsabilité collective sur la conformité.</w:t>
      </w:r>
    </w:p>
    <w:p w14:paraId="0000002E" w14:textId="13DF280A" w:rsidR="00917E7A" w:rsidRDefault="00000000">
      <w:pPr>
        <w:pBdr>
          <w:top w:val="nil"/>
          <w:left w:val="nil"/>
          <w:bottom w:val="nil"/>
          <w:right w:val="nil"/>
          <w:between w:val="nil"/>
        </w:pBdr>
        <w:rPr>
          <w:color w:val="000000"/>
        </w:rPr>
      </w:pPr>
      <w:r>
        <w:rPr>
          <w:color w:val="000000"/>
        </w:rPr>
        <w:t>Le scope projet prévoit des programmes de formation pour éduquer les employés aux politiques de gouvernance, une communication régulière sur l'importance de la qualité et de la conformité, et la création d'équipes transverses pour superviser les initiatives. Le change management est explicitement cité comme un enjeu</w:t>
      </w:r>
      <w:r w:rsidR="003F5930">
        <w:rPr>
          <w:color w:val="000000"/>
        </w:rPr>
        <w:t xml:space="preserve"> et un</w:t>
      </w:r>
      <w:r>
        <w:rPr>
          <w:color w:val="000000"/>
        </w:rPr>
        <w:t xml:space="preserve"> engagement précoce des parties prenantes, ressources de transition, canaux de feedback.</w:t>
      </w:r>
    </w:p>
    <w:p w14:paraId="0000002F" w14:textId="77777777" w:rsidR="00917E7A" w:rsidRDefault="00000000">
      <w:pPr>
        <w:pBdr>
          <w:top w:val="nil"/>
          <w:left w:val="nil"/>
          <w:bottom w:val="nil"/>
          <w:right w:val="nil"/>
          <w:between w:val="nil"/>
        </w:pBdr>
        <w:rPr>
          <w:color w:val="000000"/>
        </w:rPr>
      </w:pPr>
      <w:r>
        <w:rPr>
          <w:color w:val="000000"/>
        </w:rPr>
        <w:lastRenderedPageBreak/>
        <w:t xml:space="preserve">Ce qui n'est pas dans le document : aucun référentiel de compétences par rôle, aucune évaluation initiale du niveau de </w:t>
      </w:r>
      <w:proofErr w:type="spellStart"/>
      <w:r>
        <w:rPr>
          <w:color w:val="000000"/>
        </w:rPr>
        <w:t>literacy</w:t>
      </w:r>
      <w:proofErr w:type="spellEnd"/>
      <w:r>
        <w:rPr>
          <w:color w:val="000000"/>
        </w:rPr>
        <w:t xml:space="preserve"> par département, aucun parcours de formation structuré. L'intention est claire ; le programme reste à concevoir.</w:t>
      </w:r>
    </w:p>
    <w:p w14:paraId="00000030" w14:textId="77777777" w:rsidR="00917E7A" w:rsidRDefault="00000000">
      <w:pPr>
        <w:pStyle w:val="Titre2"/>
      </w:pPr>
      <w:r>
        <w:t xml:space="preserve">3.8 Data </w:t>
      </w:r>
      <w:proofErr w:type="spellStart"/>
      <w:r>
        <w:t>Integration</w:t>
      </w:r>
      <w:proofErr w:type="spellEnd"/>
    </w:p>
    <w:p w14:paraId="00000031" w14:textId="2C81F663" w:rsidR="00917E7A" w:rsidRDefault="00000000">
      <w:pPr>
        <w:pBdr>
          <w:top w:val="nil"/>
          <w:left w:val="nil"/>
          <w:bottom w:val="nil"/>
          <w:right w:val="nil"/>
          <w:between w:val="nil"/>
        </w:pBdr>
        <w:rPr>
          <w:color w:val="000000"/>
        </w:rPr>
      </w:pPr>
      <w:r>
        <w:rPr>
          <w:b/>
          <w:bCs/>
          <w:color w:val="000000"/>
        </w:rPr>
        <w:t>Score : 3 — Cadré.</w:t>
      </w:r>
      <w:r>
        <w:rPr>
          <w:color w:val="000000"/>
        </w:rPr>
        <w:t xml:space="preserve"> </w:t>
      </w:r>
      <w:r w:rsidR="00111BAC" w:rsidRPr="00111BAC">
        <w:rPr>
          <w:color w:val="000000"/>
        </w:rPr>
        <w:t>Aux côtés de la gouvernance et de la conformité, c'est l'une des dimensions les plus abouties du document. Le diagnostic posé est clair : en grandissant et en se déployant à l'international, Spotify a vu se former des silos entre les équipes marketing, produit, contenu</w:t>
      </w:r>
      <w:r>
        <w:rPr>
          <w:color w:val="000000"/>
        </w:rPr>
        <w:t xml:space="preserve"> et engineering. Chaque département gère ses propres données, ce qui produit des vues fragmentées des mêmes utilisateurs ou contenus.</w:t>
      </w:r>
    </w:p>
    <w:p w14:paraId="00000032" w14:textId="76D6338C" w:rsidR="00917E7A" w:rsidRDefault="00000000">
      <w:pPr>
        <w:pBdr>
          <w:top w:val="nil"/>
          <w:left w:val="nil"/>
          <w:bottom w:val="nil"/>
          <w:right w:val="nil"/>
          <w:between w:val="nil"/>
        </w:pBdr>
        <w:rPr>
          <w:color w:val="000000"/>
        </w:rPr>
      </w:pPr>
      <w:r>
        <w:rPr>
          <w:color w:val="000000"/>
        </w:rPr>
        <w:t xml:space="preserve">L'exemple donné est parlant : comprendre le parcours complet d'un utilisateur </w:t>
      </w:r>
      <w:r w:rsidR="003F5930">
        <w:rPr>
          <w:color w:val="000000"/>
        </w:rPr>
        <w:t>/ client (</w:t>
      </w:r>
      <w:r>
        <w:rPr>
          <w:color w:val="000000"/>
        </w:rPr>
        <w:t xml:space="preserve">de la découverte de contenu à la conversion en </w:t>
      </w:r>
      <w:r w:rsidR="00111BAC">
        <w:rPr>
          <w:color w:val="000000"/>
        </w:rPr>
        <w:t>abonné)</w:t>
      </w:r>
      <w:r>
        <w:rPr>
          <w:color w:val="000000"/>
        </w:rPr>
        <w:t xml:space="preserve"> exige de croiser plusieurs sources. Quand elles sont silo</w:t>
      </w:r>
      <w:r w:rsidR="00111BAC">
        <w:rPr>
          <w:color w:val="000000"/>
        </w:rPr>
        <w:t>t</w:t>
      </w:r>
      <w:r>
        <w:rPr>
          <w:color w:val="000000"/>
        </w:rPr>
        <w:t>ées, on travaille avec des angles morts. C'est exactement le genre de problème qui plombe les analyses cross-</w:t>
      </w:r>
      <w:proofErr w:type="spellStart"/>
      <w:r>
        <w:rPr>
          <w:color w:val="000000"/>
        </w:rPr>
        <w:t>d</w:t>
      </w:r>
      <w:r w:rsidR="00111BAC">
        <w:rPr>
          <w:color w:val="000000"/>
        </w:rPr>
        <w:t>é</w:t>
      </w:r>
      <w:r>
        <w:rPr>
          <w:color w:val="000000"/>
        </w:rPr>
        <w:t>partment</w:t>
      </w:r>
      <w:proofErr w:type="spellEnd"/>
      <w:r>
        <w:rPr>
          <w:color w:val="000000"/>
        </w:rPr>
        <w:t>.</w:t>
      </w:r>
      <w:r w:rsidR="00111BAC">
        <w:rPr>
          <w:color w:val="000000"/>
        </w:rPr>
        <w:t xml:space="preserve"> Nous ne pouvons pas avoir une vision globale du parcours client.</w:t>
      </w:r>
    </w:p>
    <w:p w14:paraId="00000033" w14:textId="77777777" w:rsidR="00917E7A" w:rsidRDefault="00000000">
      <w:pPr>
        <w:pBdr>
          <w:top w:val="nil"/>
          <w:left w:val="nil"/>
          <w:bottom w:val="nil"/>
          <w:right w:val="nil"/>
          <w:between w:val="nil"/>
        </w:pBdr>
        <w:rPr>
          <w:color w:val="000000"/>
        </w:rPr>
      </w:pPr>
      <w:r>
        <w:rPr>
          <w:color w:val="000000"/>
        </w:rPr>
        <w:t xml:space="preserve">L'objectif est posé : casser les silos pour permettre la collaboration transverse, l'innovation et une prise de décision informée. Le scope inclut la définition des rôles, l'implémentation </w:t>
      </w:r>
      <w:proofErr w:type="spellStart"/>
      <w:r>
        <w:rPr>
          <w:color w:val="000000"/>
        </w:rPr>
        <w:t>step</w:t>
      </w:r>
      <w:proofErr w:type="spellEnd"/>
      <w:r>
        <w:rPr>
          <w:color w:val="000000"/>
        </w:rPr>
        <w:t>-by-</w:t>
      </w:r>
      <w:proofErr w:type="spellStart"/>
      <w:r>
        <w:rPr>
          <w:color w:val="000000"/>
        </w:rPr>
        <w:t>step</w:t>
      </w:r>
      <w:proofErr w:type="spellEnd"/>
      <w:r>
        <w:rPr>
          <w:color w:val="000000"/>
        </w:rPr>
        <w:t>, et un pilote dans un département ou une région avant déploiement global. Ce qui reste à produire côté opérationnel : l'inventaire détaillé des sources de données, le plan technique d'intégration, et les choix d'outils — qui ne sont pas dans le périmètre du business case.</w:t>
      </w:r>
    </w:p>
    <w:p w14:paraId="00000034" w14:textId="77777777" w:rsidR="00917E7A" w:rsidRDefault="00000000">
      <w:pPr>
        <w:pStyle w:val="Titre2"/>
      </w:pPr>
      <w:r>
        <w:t>3.9 Analytics &amp; BI</w:t>
      </w:r>
    </w:p>
    <w:p w14:paraId="00000035" w14:textId="694FB8F4" w:rsidR="00917E7A" w:rsidRDefault="00000000">
      <w:pPr>
        <w:pBdr>
          <w:top w:val="nil"/>
          <w:left w:val="nil"/>
          <w:bottom w:val="nil"/>
          <w:right w:val="nil"/>
          <w:between w:val="nil"/>
        </w:pBdr>
        <w:rPr>
          <w:color w:val="000000"/>
        </w:rPr>
      </w:pPr>
      <w:r>
        <w:rPr>
          <w:b/>
          <w:bCs/>
          <w:color w:val="000000"/>
        </w:rPr>
        <w:t>Score : 2 Identifié.</w:t>
      </w:r>
      <w:r>
        <w:rPr>
          <w:color w:val="000000"/>
        </w:rPr>
        <w:t xml:space="preserve"> Le document parle abondamment de ce que la data permet </w:t>
      </w:r>
      <w:r w:rsidR="00111BAC">
        <w:rPr>
          <w:color w:val="000000"/>
        </w:rPr>
        <w:t>de créer des recommandations</w:t>
      </w:r>
      <w:r>
        <w:rPr>
          <w:color w:val="000000"/>
        </w:rPr>
        <w:t xml:space="preserve"> personnalisées, </w:t>
      </w:r>
      <w:r w:rsidR="00111BAC">
        <w:rPr>
          <w:color w:val="000000"/>
        </w:rPr>
        <w:t xml:space="preserve">des </w:t>
      </w:r>
      <w:r>
        <w:rPr>
          <w:color w:val="000000"/>
        </w:rPr>
        <w:t>segmentation</w:t>
      </w:r>
      <w:r w:rsidR="00111BAC">
        <w:rPr>
          <w:color w:val="000000"/>
        </w:rPr>
        <w:t>s</w:t>
      </w:r>
      <w:r>
        <w:rPr>
          <w:color w:val="000000"/>
        </w:rPr>
        <w:t xml:space="preserve"> marketing, </w:t>
      </w:r>
      <w:r w:rsidR="00111BAC">
        <w:rPr>
          <w:color w:val="000000"/>
        </w:rPr>
        <w:t xml:space="preserve">des </w:t>
      </w:r>
      <w:r>
        <w:rPr>
          <w:color w:val="000000"/>
        </w:rPr>
        <w:t>optimisation</w:t>
      </w:r>
      <w:r w:rsidR="00111BAC">
        <w:rPr>
          <w:color w:val="000000"/>
        </w:rPr>
        <w:t>s</w:t>
      </w:r>
      <w:r>
        <w:rPr>
          <w:color w:val="000000"/>
        </w:rPr>
        <w:t xml:space="preserve"> du contenu, </w:t>
      </w:r>
      <w:r w:rsidR="00111BAC">
        <w:rPr>
          <w:color w:val="000000"/>
        </w:rPr>
        <w:t xml:space="preserve">et des </w:t>
      </w:r>
      <w:r>
        <w:rPr>
          <w:color w:val="000000"/>
        </w:rPr>
        <w:t xml:space="preserve">insights comportementaux. Il rappelle que Spotify est à la pointe de l'utilisation du machine </w:t>
      </w:r>
      <w:proofErr w:type="spellStart"/>
      <w:r>
        <w:rPr>
          <w:color w:val="000000"/>
        </w:rPr>
        <w:t>learning</w:t>
      </w:r>
      <w:proofErr w:type="spellEnd"/>
      <w:r>
        <w:rPr>
          <w:color w:val="000000"/>
        </w:rPr>
        <w:t xml:space="preserve">, de l'IA et du big data </w:t>
      </w:r>
      <w:proofErr w:type="spellStart"/>
      <w:r>
        <w:rPr>
          <w:color w:val="000000"/>
        </w:rPr>
        <w:t>analytics</w:t>
      </w:r>
      <w:proofErr w:type="spellEnd"/>
      <w:r>
        <w:rPr>
          <w:color w:val="000000"/>
        </w:rPr>
        <w:t xml:space="preserve">, et que cette capacité est un différenciateur clé face à Apple Music, Amazon Music, YouTube Music </w:t>
      </w:r>
      <w:r w:rsidR="00111BAC">
        <w:rPr>
          <w:color w:val="000000"/>
        </w:rPr>
        <w:t>ou Deezer</w:t>
      </w:r>
      <w:r>
        <w:rPr>
          <w:color w:val="000000"/>
        </w:rPr>
        <w:t>.</w:t>
      </w:r>
    </w:p>
    <w:p w14:paraId="00000036" w14:textId="77777777" w:rsidR="00917E7A" w:rsidRDefault="00000000">
      <w:pPr>
        <w:pBdr>
          <w:top w:val="nil"/>
          <w:left w:val="nil"/>
          <w:bottom w:val="nil"/>
          <w:right w:val="nil"/>
          <w:between w:val="nil"/>
        </w:pBdr>
        <w:rPr>
          <w:color w:val="000000"/>
        </w:rPr>
      </w:pPr>
      <w:r>
        <w:rPr>
          <w:color w:val="000000"/>
        </w:rPr>
        <w:t xml:space="preserve">Trois enjeux IA/Analytics sont nommés explicitement : prévention des biais algorithmiques, explicabilité et </w:t>
      </w:r>
      <w:proofErr w:type="spellStart"/>
      <w:r>
        <w:rPr>
          <w:color w:val="000000"/>
        </w:rPr>
        <w:t>accountability</w:t>
      </w:r>
      <w:proofErr w:type="spellEnd"/>
      <w:r>
        <w:rPr>
          <w:color w:val="000000"/>
        </w:rPr>
        <w:t xml:space="preserve"> des systèmes IA, sécurité des traitements à grande échelle. Le besoin d'un usage éthique de la donnée et d'un alignement avec les valeurs de l'entreprise est posé.</w:t>
      </w:r>
    </w:p>
    <w:p w14:paraId="00000037" w14:textId="77777777" w:rsidR="00917E7A" w:rsidRDefault="00000000">
      <w:pPr>
        <w:pBdr>
          <w:top w:val="nil"/>
          <w:left w:val="nil"/>
          <w:bottom w:val="nil"/>
          <w:right w:val="nil"/>
          <w:between w:val="nil"/>
        </w:pBdr>
        <w:rPr>
          <w:color w:val="000000"/>
        </w:rPr>
      </w:pPr>
      <w:r>
        <w:rPr>
          <w:color w:val="000000"/>
        </w:rPr>
        <w:t xml:space="preserve">Mais on parle peu de la pratique analytique elle-même : pas de typologie des cas d'usage, pas de gouvernance des modèles, pas de cadre de monitoring en production, pas de distinction des rôles (data </w:t>
      </w:r>
      <w:proofErr w:type="spellStart"/>
      <w:r>
        <w:rPr>
          <w:color w:val="000000"/>
        </w:rPr>
        <w:t>scientists</w:t>
      </w:r>
      <w:proofErr w:type="spellEnd"/>
      <w:r>
        <w:rPr>
          <w:color w:val="000000"/>
        </w:rPr>
        <w:t xml:space="preserve">, data </w:t>
      </w:r>
      <w:proofErr w:type="spellStart"/>
      <w:r>
        <w:rPr>
          <w:color w:val="000000"/>
        </w:rPr>
        <w:t>engineers</w:t>
      </w:r>
      <w:proofErr w:type="spellEnd"/>
      <w:r>
        <w:rPr>
          <w:color w:val="000000"/>
        </w:rPr>
        <w:t xml:space="preserve">, data </w:t>
      </w:r>
      <w:proofErr w:type="spellStart"/>
      <w:r>
        <w:rPr>
          <w:color w:val="000000"/>
        </w:rPr>
        <w:t>analysts</w:t>
      </w:r>
      <w:proofErr w:type="spellEnd"/>
      <w:r>
        <w:rPr>
          <w:color w:val="000000"/>
        </w:rPr>
        <w:t>). C'est plus un cadrage des risques IA qu'un vrai chapitre Analytics &amp; BI.</w:t>
      </w:r>
    </w:p>
    <w:p w14:paraId="00000038" w14:textId="77777777" w:rsidR="00917E7A" w:rsidRDefault="00000000">
      <w:pPr>
        <w:pStyle w:val="Titre2"/>
      </w:pPr>
      <w:r>
        <w:t>Score moyen global</w:t>
      </w:r>
    </w:p>
    <w:p w14:paraId="00000039" w14:textId="327764DF" w:rsidR="00917E7A" w:rsidRDefault="00000000">
      <w:pPr>
        <w:pBdr>
          <w:top w:val="nil"/>
          <w:left w:val="nil"/>
          <w:bottom w:val="nil"/>
          <w:right w:val="nil"/>
          <w:between w:val="nil"/>
        </w:pBdr>
        <w:rPr>
          <w:color w:val="000000"/>
        </w:rPr>
      </w:pPr>
      <w:r>
        <w:rPr>
          <w:color w:val="000000"/>
        </w:rPr>
        <w:t xml:space="preserve">Moyenne des neuf dimensions : </w:t>
      </w:r>
      <w:r>
        <w:rPr>
          <w:b/>
          <w:bCs/>
          <w:color w:val="000000"/>
        </w:rPr>
        <w:t>environ 2,3 sur 5</w:t>
      </w:r>
      <w:r>
        <w:rPr>
          <w:color w:val="000000"/>
        </w:rPr>
        <w:t xml:space="preserve"> entre Identifié et Cadré. C'est la note d'un projet bien posé, pas d'une organisation déjà mature. Et c'est précisément ce que le business case est : un point de départ, pas un état des lieux après déploiement.</w:t>
      </w:r>
    </w:p>
    <w:p w14:paraId="0000003A" w14:textId="77777777" w:rsidR="00917E7A" w:rsidRDefault="00000000">
      <w:pPr>
        <w:pBdr>
          <w:top w:val="nil"/>
          <w:left w:val="nil"/>
          <w:bottom w:val="nil"/>
          <w:right w:val="nil"/>
          <w:between w:val="nil"/>
        </w:pBdr>
        <w:rPr>
          <w:color w:val="000000"/>
        </w:rPr>
      </w:pPr>
      <w:r>
        <w:rPr>
          <w:color w:val="000000"/>
        </w:rPr>
        <w:t>Le cadre conceptuel tient la route, les rôles sont nommés, les enjeux réglementaires sont chiffrés. Le travail qui reste est d'industrialiser : passer de « ce qu'on doit faire » à « ce qu'on fait, mesuré, à cadence régulière ».</w:t>
      </w:r>
    </w:p>
    <w:p w14:paraId="0000003B" w14:textId="77777777" w:rsidR="00917E7A" w:rsidRDefault="00000000">
      <w:pPr>
        <w:pStyle w:val="Titre1"/>
      </w:pPr>
      <w:r>
        <w:t>4. Par où commencer</w:t>
      </w:r>
    </w:p>
    <w:p w14:paraId="0000003C" w14:textId="7B7F4F6C" w:rsidR="00917E7A" w:rsidRDefault="00000000">
      <w:pPr>
        <w:pBdr>
          <w:top w:val="nil"/>
          <w:left w:val="nil"/>
          <w:bottom w:val="nil"/>
          <w:right w:val="nil"/>
          <w:between w:val="nil"/>
        </w:pBdr>
        <w:rPr>
          <w:color w:val="000000"/>
        </w:rPr>
      </w:pPr>
      <w:r>
        <w:rPr>
          <w:color w:val="000000"/>
        </w:rPr>
        <w:t>Le business case propose lui-même une approche par étapes</w:t>
      </w:r>
      <w:r w:rsidR="00111BAC">
        <w:rPr>
          <w:color w:val="000000"/>
        </w:rPr>
        <w:t xml:space="preserve">. Trouver un </w:t>
      </w:r>
      <w:r>
        <w:rPr>
          <w:color w:val="000000"/>
        </w:rPr>
        <w:t>pilote dans un département ou une région avant scale-up et insiste sur le change management. Trois priorités ressortent en lisant le document.</w:t>
      </w:r>
    </w:p>
    <w:p w14:paraId="51BF0BD3" w14:textId="77777777" w:rsidR="00111BAC" w:rsidRDefault="00111BAC">
      <w:pPr>
        <w:pBdr>
          <w:top w:val="nil"/>
          <w:left w:val="nil"/>
          <w:bottom w:val="nil"/>
          <w:right w:val="nil"/>
          <w:between w:val="nil"/>
        </w:pBdr>
        <w:rPr>
          <w:color w:val="000000"/>
        </w:rPr>
      </w:pPr>
    </w:p>
    <w:p w14:paraId="0000003D" w14:textId="5E16EAE7" w:rsidR="00917E7A" w:rsidRDefault="00000000">
      <w:pPr>
        <w:pBdr>
          <w:top w:val="nil"/>
          <w:left w:val="nil"/>
          <w:bottom w:val="nil"/>
          <w:right w:val="nil"/>
          <w:between w:val="nil"/>
        </w:pBdr>
        <w:rPr>
          <w:color w:val="000000"/>
        </w:rPr>
      </w:pPr>
      <w:r>
        <w:rPr>
          <w:b/>
          <w:bCs/>
          <w:color w:val="000000"/>
        </w:rPr>
        <w:t xml:space="preserve">Priorité </w:t>
      </w:r>
      <w:proofErr w:type="gramStart"/>
      <w:r>
        <w:rPr>
          <w:b/>
          <w:bCs/>
          <w:color w:val="000000"/>
        </w:rPr>
        <w:t>1  Activer</w:t>
      </w:r>
      <w:proofErr w:type="gramEnd"/>
      <w:r>
        <w:rPr>
          <w:b/>
          <w:bCs/>
          <w:color w:val="000000"/>
        </w:rPr>
        <w:t xml:space="preserve"> les rôles déjà nommés</w:t>
      </w:r>
    </w:p>
    <w:p w14:paraId="0000003E" w14:textId="77777777" w:rsidR="00917E7A" w:rsidRDefault="00000000">
      <w:pPr>
        <w:pBdr>
          <w:top w:val="nil"/>
          <w:left w:val="nil"/>
          <w:bottom w:val="nil"/>
          <w:right w:val="nil"/>
          <w:between w:val="nil"/>
        </w:pBdr>
        <w:rPr>
          <w:color w:val="000000"/>
        </w:rPr>
      </w:pPr>
      <w:r>
        <w:rPr>
          <w:color w:val="000000"/>
        </w:rPr>
        <w:lastRenderedPageBreak/>
        <w:t xml:space="preserve">Le document liste DPO, CDO, Head of Engineering, Marketing Director, Legal Team, Product Managers et un Data </w:t>
      </w:r>
      <w:proofErr w:type="spellStart"/>
      <w:r>
        <w:rPr>
          <w:color w:val="000000"/>
        </w:rPr>
        <w:t>Governance</w:t>
      </w:r>
      <w:proofErr w:type="spellEnd"/>
      <w:r>
        <w:rPr>
          <w:color w:val="000000"/>
        </w:rPr>
        <w:t xml:space="preserve"> </w:t>
      </w:r>
      <w:proofErr w:type="spellStart"/>
      <w:r>
        <w:rPr>
          <w:color w:val="000000"/>
        </w:rPr>
        <w:t>Committee</w:t>
      </w:r>
      <w:proofErr w:type="spellEnd"/>
      <w:r>
        <w:rPr>
          <w:color w:val="000000"/>
        </w:rPr>
        <w:t>. C'est une bonne base. Le sujet à court terme : passer du « rôle décrit dans un document » au « rôle qui existe avec un titulaire, un mandat clair et une cadence de réunion ». Sans ça, le reste ne suit pas.</w:t>
      </w:r>
    </w:p>
    <w:p w14:paraId="69A35694" w14:textId="77777777" w:rsidR="00111BAC" w:rsidRDefault="00111BAC">
      <w:pPr>
        <w:pBdr>
          <w:top w:val="nil"/>
          <w:left w:val="nil"/>
          <w:bottom w:val="nil"/>
          <w:right w:val="nil"/>
          <w:between w:val="nil"/>
        </w:pBdr>
        <w:rPr>
          <w:color w:val="000000"/>
        </w:rPr>
      </w:pPr>
    </w:p>
    <w:p w14:paraId="0000003F" w14:textId="64868EB3" w:rsidR="00917E7A" w:rsidRDefault="00000000">
      <w:pPr>
        <w:pBdr>
          <w:top w:val="nil"/>
          <w:left w:val="nil"/>
          <w:bottom w:val="nil"/>
          <w:right w:val="nil"/>
          <w:between w:val="nil"/>
        </w:pBdr>
        <w:rPr>
          <w:color w:val="000000"/>
        </w:rPr>
      </w:pPr>
      <w:r>
        <w:rPr>
          <w:b/>
          <w:bCs/>
          <w:color w:val="000000"/>
        </w:rPr>
        <w:t>Priorité 2 Lancer le pilote</w:t>
      </w:r>
    </w:p>
    <w:p w14:paraId="00000040" w14:textId="77777777" w:rsidR="00917E7A" w:rsidRDefault="00000000">
      <w:pPr>
        <w:pBdr>
          <w:top w:val="nil"/>
          <w:left w:val="nil"/>
          <w:bottom w:val="nil"/>
          <w:right w:val="nil"/>
          <w:between w:val="nil"/>
        </w:pBdr>
        <w:rPr>
          <w:color w:val="000000"/>
        </w:rPr>
      </w:pPr>
      <w:r>
        <w:rPr>
          <w:color w:val="000000"/>
        </w:rPr>
        <w:t>Le scope prévoit explicitement une phase pilote sur un département ou une région avant déploiement global, avec des KPIs définis. C'est le levier le plus efficace pour valider le cadre et préparer le scale-up. Marketing est un bon candidat : la section sur la qualité des données pointe les usages marketing comme un enjeu de premier ordre, et c'est un département où l'impact business des silos est mesurable.</w:t>
      </w:r>
    </w:p>
    <w:p w14:paraId="00000041" w14:textId="191D4CD6" w:rsidR="00917E7A" w:rsidRDefault="00000000">
      <w:pPr>
        <w:pBdr>
          <w:top w:val="nil"/>
          <w:left w:val="nil"/>
          <w:bottom w:val="nil"/>
          <w:right w:val="nil"/>
          <w:between w:val="nil"/>
        </w:pBdr>
        <w:rPr>
          <w:b/>
          <w:bCs/>
          <w:color w:val="000000"/>
        </w:rPr>
      </w:pPr>
      <w:r>
        <w:rPr>
          <w:b/>
          <w:bCs/>
          <w:color w:val="000000"/>
        </w:rPr>
        <w:t>Priorité 3 Conformité d'abord, le reste ensuite</w:t>
      </w:r>
    </w:p>
    <w:p w14:paraId="60A3436E" w14:textId="77777777" w:rsidR="00111BAC" w:rsidRDefault="00111BAC">
      <w:pPr>
        <w:pBdr>
          <w:top w:val="nil"/>
          <w:left w:val="nil"/>
          <w:bottom w:val="nil"/>
          <w:right w:val="nil"/>
          <w:between w:val="nil"/>
        </w:pBdr>
        <w:rPr>
          <w:color w:val="000000"/>
        </w:rPr>
      </w:pPr>
    </w:p>
    <w:p w14:paraId="00000042" w14:textId="77777777" w:rsidR="00917E7A" w:rsidRDefault="00000000">
      <w:pPr>
        <w:pBdr>
          <w:top w:val="nil"/>
          <w:left w:val="nil"/>
          <w:bottom w:val="nil"/>
          <w:right w:val="nil"/>
          <w:between w:val="nil"/>
        </w:pBdr>
        <w:rPr>
          <w:color w:val="000000"/>
        </w:rPr>
      </w:pPr>
      <w:r>
        <w:rPr>
          <w:color w:val="000000"/>
        </w:rPr>
        <w:t>Vu les montants en jeu (jusqu'à 4 % du chiffre d'affaires annuel sous RGPD) et la présence dans 180 pays, la conformité est le sujet à sécuriser en premier — pas parce qu'elle est plus importante intellectuellement que la qualité ou l'intégration, mais parce que c'est celui où le risque financier et réputationnel est le plus immédiat. Workflows de réponse aux demandes utilisateurs, cadence d'audit, traçabilité des consentements : c'est par là qu'on commence.</w:t>
      </w:r>
    </w:p>
    <w:p w14:paraId="00000043" w14:textId="14195F1F" w:rsidR="00917E7A" w:rsidRDefault="00917E7A">
      <w:pPr>
        <w:pBdr>
          <w:top w:val="nil"/>
          <w:left w:val="nil"/>
          <w:bottom w:val="nil"/>
          <w:right w:val="nil"/>
          <w:between w:val="nil"/>
        </w:pBdr>
        <w:rPr>
          <w:color w:val="000000"/>
        </w:rPr>
      </w:pPr>
    </w:p>
    <w:sectPr w:rsidR="00917E7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812E10" w14:textId="77777777" w:rsidR="00B672E4" w:rsidRDefault="00B672E4" w:rsidP="003F5930">
      <w:r>
        <w:separator/>
      </w:r>
    </w:p>
  </w:endnote>
  <w:endnote w:type="continuationSeparator" w:id="0">
    <w:p w14:paraId="75048471" w14:textId="77777777" w:rsidR="00B672E4" w:rsidRDefault="00B672E4" w:rsidP="003F5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2C5D524A-E00D-A847-9AD3-0BD73DD8B94E}"/>
    <w:embedBold r:id="rId2" w:fontKey="{0A8C1902-F96F-7342-ADC6-B131E6B476A2}"/>
    <w:embedItalic r:id="rId3" w:fontKey="{61704279-D533-094A-A9BF-5CA4D606165A}"/>
  </w:font>
  <w:font w:name="Times New Roman">
    <w:panose1 w:val="02020603050405020304"/>
    <w:charset w:val="00"/>
    <w:family w:val="roman"/>
    <w:pitch w:val="variable"/>
    <w:sig w:usb0="E0002EFF" w:usb1="C000785B" w:usb2="00000009" w:usb3="00000000" w:csb0="000001FF" w:csb1="00000000"/>
    <w:embedRegular r:id="rId4" w:fontKey="{9937C066-ACE5-E645-9BFA-FE903F8F464B}"/>
  </w:font>
  <w:font w:name="Georgia">
    <w:panose1 w:val="02040502050405020303"/>
    <w:charset w:val="00"/>
    <w:family w:val="roman"/>
    <w:pitch w:val="variable"/>
    <w:sig w:usb0="00000287" w:usb1="00000000" w:usb2="00000000" w:usb3="00000000" w:csb0="0000009F" w:csb1="00000000"/>
    <w:embedItalic r:id="rId5" w:fontKey="{E3214F3A-3AC4-0445-B8F7-79603B2504D2}"/>
  </w:font>
  <w:font w:name="Cambria">
    <w:panose1 w:val="02040503050406030204"/>
    <w:charset w:val="00"/>
    <w:family w:val="roman"/>
    <w:pitch w:val="variable"/>
    <w:sig w:usb0="E00002FF" w:usb1="400004FF" w:usb2="00000000" w:usb3="00000000" w:csb0="0000019F" w:csb1="00000000"/>
    <w:embedRegular r:id="rId6" w:fontKey="{B24BDE99-9311-7246-B6E2-D79FCBFA39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E89532" w14:textId="77777777" w:rsidR="003F5930" w:rsidRDefault="003F593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FE74E9" w14:textId="77777777" w:rsidR="003F5930" w:rsidRDefault="003F5930">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A42453" w14:textId="77777777" w:rsidR="003F5930" w:rsidRDefault="003F593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5D160F" w14:textId="77777777" w:rsidR="00B672E4" w:rsidRDefault="00B672E4" w:rsidP="003F5930">
      <w:r>
        <w:separator/>
      </w:r>
    </w:p>
  </w:footnote>
  <w:footnote w:type="continuationSeparator" w:id="0">
    <w:p w14:paraId="3164182D" w14:textId="77777777" w:rsidR="00B672E4" w:rsidRDefault="00B672E4" w:rsidP="003F59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0316D8" w14:textId="77777777" w:rsidR="003F5930" w:rsidRDefault="003F593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83FFCB" w14:textId="77777777" w:rsidR="003F5930" w:rsidRDefault="003F5930">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5B589F" w14:textId="77777777" w:rsidR="003F5930" w:rsidRDefault="003F5930">
    <w:pPr>
      <w:pStyle w:val="En-tt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E7A"/>
    <w:rsid w:val="000C273B"/>
    <w:rsid w:val="00111BAC"/>
    <w:rsid w:val="003F5930"/>
    <w:rsid w:val="006A78A3"/>
    <w:rsid w:val="00917E7A"/>
    <w:rsid w:val="00B672E4"/>
    <w:rsid w:val="00D3029E"/>
    <w:rsid w:val="00EC4A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7C969B3"/>
  <w15:docId w15:val="{65E54E60-BAAD-A84F-A022-11F038EDD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spacing w:before="360" w:after="200"/>
      <w:outlineLvl w:val="0"/>
    </w:pPr>
    <w:rPr>
      <w:b/>
      <w:bCs/>
      <w:color w:val="1F3864"/>
      <w:sz w:val="32"/>
      <w:szCs w:val="32"/>
    </w:rPr>
  </w:style>
  <w:style w:type="paragraph" w:styleId="Titre2">
    <w:name w:val="heading 2"/>
    <w:basedOn w:val="Normal"/>
    <w:next w:val="Normal"/>
    <w:uiPriority w:val="9"/>
    <w:unhideWhenUsed/>
    <w:qFormat/>
    <w:pPr>
      <w:pBdr>
        <w:top w:val="nil"/>
        <w:left w:val="nil"/>
        <w:bottom w:val="nil"/>
        <w:right w:val="nil"/>
        <w:between w:val="nil"/>
      </w:pBdr>
      <w:spacing w:before="280" w:after="140"/>
      <w:outlineLvl w:val="1"/>
    </w:pPr>
    <w:rPr>
      <w:b/>
      <w:bCs/>
      <w:color w:val="2E74B5"/>
      <w:sz w:val="26"/>
      <w:szCs w:val="26"/>
    </w:rPr>
  </w:style>
  <w:style w:type="paragraph" w:styleId="Titre3">
    <w:name w:val="heading 3"/>
    <w:basedOn w:val="Normal"/>
    <w:next w:val="Normal"/>
    <w:uiPriority w:val="9"/>
    <w:semiHidden/>
    <w:unhideWhenUsed/>
    <w:qFormat/>
    <w:pPr>
      <w:pBdr>
        <w:top w:val="nil"/>
        <w:left w:val="nil"/>
        <w:bottom w:val="nil"/>
        <w:right w:val="nil"/>
        <w:between w:val="nil"/>
      </w:pBdr>
      <w:spacing w:before="200" w:after="100"/>
      <w:outlineLvl w:val="2"/>
    </w:pPr>
    <w:rPr>
      <w:b/>
      <w:bCs/>
      <w:color w:val="404040"/>
    </w:rPr>
  </w:style>
  <w:style w:type="paragraph" w:styleId="Titre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itre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itre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top w:val="nil"/>
        <w:left w:val="nil"/>
        <w:bottom w:val="nil"/>
        <w:right w:val="nil"/>
        <w:between w:val="nil"/>
      </w:pBdr>
      <w:spacing w:before="240" w:after="240"/>
    </w:pPr>
    <w:rPr>
      <w:b/>
      <w:bCs/>
      <w:color w:val="000000"/>
      <w:sz w:val="40"/>
      <w:szCs w:val="40"/>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En-tte">
    <w:name w:val="header"/>
    <w:basedOn w:val="Normal"/>
    <w:link w:val="En-tteCar"/>
    <w:uiPriority w:val="99"/>
    <w:unhideWhenUsed/>
    <w:rsid w:val="003F5930"/>
    <w:pPr>
      <w:tabs>
        <w:tab w:val="center" w:pos="4536"/>
        <w:tab w:val="right" w:pos="9072"/>
      </w:tabs>
    </w:pPr>
  </w:style>
  <w:style w:type="character" w:customStyle="1" w:styleId="En-tteCar">
    <w:name w:val="En-tête Car"/>
    <w:basedOn w:val="Policepardfaut"/>
    <w:link w:val="En-tte"/>
    <w:uiPriority w:val="99"/>
    <w:rsid w:val="003F5930"/>
  </w:style>
  <w:style w:type="paragraph" w:styleId="Pieddepage">
    <w:name w:val="footer"/>
    <w:basedOn w:val="Normal"/>
    <w:link w:val="PieddepageCar"/>
    <w:uiPriority w:val="99"/>
    <w:unhideWhenUsed/>
    <w:rsid w:val="003F5930"/>
    <w:pPr>
      <w:tabs>
        <w:tab w:val="center" w:pos="4536"/>
        <w:tab w:val="right" w:pos="9072"/>
      </w:tabs>
    </w:pPr>
  </w:style>
  <w:style w:type="character" w:customStyle="1" w:styleId="PieddepageCar">
    <w:name w:val="Pied de page Car"/>
    <w:basedOn w:val="Policepardfaut"/>
    <w:link w:val="Pieddepage"/>
    <w:uiPriority w:val="99"/>
    <w:rsid w:val="003F5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2E6393-F00F-8F4E-A84E-78290C6018EF}">
  <we:reference id="wa200010453" version="1.0.0.1" store="fr-FR" storeType="OMEX"/>
  <we:alternateReferences>
    <we:reference id="wa200010453" version="1.0.0.1" store="wa200010453" storeType="OMEX"/>
  </we:alternateReferences>
  <we:properties>
    <we:property name="claude.fileId" value="&quot;b14f17b1-5f41-4b51-83d3-3f0c43fffa2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wHYPWyOetTLI2jyy6sgyB1CVOQ==">CgMxLjA4AHIhMXhJemhlUWdRb2NjLUh6aWxhWjhWLU1IY1lEOVcwYUFf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Pages>
  <Words>2079</Words>
  <Characters>11253</Characters>
  <Application>Microsoft Office Word</Application>
  <DocSecurity>0</DocSecurity>
  <Lines>178</Lines>
  <Paragraphs>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Patrice DUCLOS</cp:lastModifiedBy>
  <cp:revision>3</cp:revision>
  <dcterms:created xsi:type="dcterms:W3CDTF">2026-07-07T05:07:00Z</dcterms:created>
  <dcterms:modified xsi:type="dcterms:W3CDTF">2026-07-07T05:46:00Z</dcterms:modified>
</cp:coreProperties>
</file>