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Snowflake prêt, chargement en dry-run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 (démo : admin / Bloc2-Demo-2026)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85762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147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sondes de santé,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Login du dashboard inopérant dans Docker</w:t>
      </w:r>
      <w:r>
        <w:t xml:space="preserve"> : les variables </w:t>
      </w:r>
      <w:r>
        <w:rPr>
          <w:rFonts w:ascii="Consolas" w:cs="Consolas" w:eastAsia="Consolas" w:hAnsi="Consolas"/>
          <w:color w:val="3B3F8F"/>
          <w:sz w:val="19"/>
          <w:szCs w:val="19"/>
        </w:rPr>
        <w:t xml:space="preserve">DASHBOARD_*</w:t>
      </w:r>
      <w:r>
        <w:t xml:space="preserve"> n’étaient pas transmises au conteneur, qui refusait toute connexion (échec fermé, donc sûr) ; corrigé dans </w:t>
      </w:r>
      <w:r>
        <w:rPr>
          <w:rFonts w:ascii="Consolas" w:cs="Consolas" w:eastAsia="Consolas" w:hAnsi="Consolas"/>
          <w:color w:val="3B3F8F"/>
          <w:sz w:val="19"/>
          <w:szCs w:val="19"/>
        </w:rPr>
        <w:t xml:space="preserve">docker-compose.yml</w:t>
      </w:r>
      <w:r>
        <w:t xml:space="preserve">, connexion vérifiée dans le conteneur.</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 ; identifiants de démo admin / Bloc2-Demo-2026).</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queries/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Analystes, jury</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 requêtes PostgreSQL et 11 MongoDB exécutées par </w:t>
            </w:r>
            <w:r>
              <w:rPr>
                <w:rFonts w:ascii="Consolas" w:cs="Consolas" w:eastAsia="Consolas" w:hAnsi="Consolas"/>
                <w:color w:val="3B3F8F"/>
                <w:sz w:val="16"/>
                <w:szCs w:val="16"/>
              </w:rPr>
              <w:t xml:space="preserve">make queries-check</w:t>
            </w:r>
            <w:r>
              <w:rPr>
                <w:sz w:val="18"/>
                <w:szCs w:val="18"/>
              </w:rPr>
              <w:t xml:space="preserve">, 5 requêtes Snowflake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http://localhost:8501</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Métier, risque,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Onglets Vue d’ensemble et Performance ML ; connexion de démo admin / Bloc2-Demo-2026</w:t>
            </w:r>
          </w:p>
        </w:tc>
      </w:tr>
    </w:tbl>
    <w:p>
      <w:pPr>
        <w:spacing w:after="120"/>
      </w:pPr>
    </w:p>
    <w:p>
      <w:pPr>
        <w:keepNext/>
        <w:spacing w:after="60" w:before="120"/>
        <w:jc w:val="center"/>
      </w:pPr>
      <w:r>
        <w:drawing>
          <wp:inline distT="0" distB="0" distL="0" distR="0">
            <wp:extent cx="5715000" cy="3314700"/>
            <wp:effectExtent t="0" r="0" b="0" l="0"/>
            <wp:docPr id="1" name="Structure du code : fichiers et fonctions clés, générée depuis le dépôt" descr="Structure du code : fichiers et fonctions clés, générée depuis le dépôt" title="Structure du code : fichiers et fonctions clés, générée depuis le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Structure du code : fichiers et fonctions clés, générée depuis le dépôt</w:t>
      </w: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non connecté,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4bea22017f51e12743ceb50479a49cb1e7d170de.png"/><Relationship Id="rId11" Type="http://schemas.openxmlformats.org/officeDocument/2006/relationships/image" Target="media/a515dab4a471a62e42ef586a9ccbe3669ff12b2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2026-09-16T12:19:34.328Z</dcterms:created>
  <dcterms:modified xsi:type="dcterms:W3CDTF">2026-09-16T12:19:34.328Z</dcterms:modified>
</cp:coreProperties>
</file>

<file path=docProps/custom.xml><?xml version="1.0" encoding="utf-8"?>
<Properties xmlns="http://schemas.openxmlformats.org/officeDocument/2006/custom-properties" xmlns:vt="http://schemas.openxmlformats.org/officeDocument/2006/docPropsVTypes"/>
</file>