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(compte d’essai) : schéma en étoile, export quotidien réel, requêtes exécutées</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 avec retour arrière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528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sondes de santé,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Login du dashboard inopérant dans Docker</w:t>
      </w:r>
      <w:r>
        <w:t xml:space="preserve"> : les variables </w:t>
      </w:r>
      <w:r>
        <w:rPr>
          <w:rFonts w:ascii="Consolas" w:cs="Consolas" w:eastAsia="Consolas" w:hAnsi="Consolas"/>
          <w:color w:val="3B3F8F"/>
          <w:sz w:val="19"/>
          <w:szCs w:val="19"/>
        </w:rPr>
        <w:t xml:space="preserve">DASHBOARD_*</w:t>
      </w:r>
      <w:r>
        <w:t xml:space="preserve"> n’étaient pas transmises au conteneur, qui refusait toute connexion (échec fermé, donc sûr) ; corrigé dans </w:t>
      </w:r>
      <w:r>
        <w:rPr>
          <w:rFonts w:ascii="Consolas" w:cs="Consolas" w:eastAsia="Consolas" w:hAnsi="Consolas"/>
          <w:color w:val="3B3F8F"/>
          <w:sz w:val="19"/>
          <w:szCs w:val="19"/>
        </w:rPr>
        <w:t xml:space="preserve">docker-compose.yml</w:t>
      </w:r>
      <w:r>
        <w:t xml:space="preserve">, connexion vérifiée dans le conteneur.</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w:t>
      </w:r>
    </w:p>
    <w:p>
      <w:pPr>
        <w:pStyle w:val="ListParagraph"/>
        <w:numPr>
          <w:ilvl w:val="0"/>
          <w:numId w:val="2"/>
        </w:numPr>
        <w:spacing w:after="60" w:line="276"/>
      </w:pPr>
      <w:r>
        <w:rPr>
          <w:b/>
          <w:bCs/>
        </w:rPr>
        <w:t xml:space="preserve">Boucle de réentraînement dégradante (25/09)</w:t>
      </w:r>
      <w:r>
        <w:t xml:space="preserve"> : cinq réentraînements déclenchés par une dérive de vélocité ont fait passer le rappel servi de 0,82 à 0,40 ; corrigé par un retour arrière automatique dans </w:t>
      </w:r>
      <w:r>
        <w:rPr>
          <w:rFonts w:ascii="Consolas" w:cs="Consolas" w:eastAsia="Consolas" w:hAnsi="Consolas"/>
          <w:color w:val="3B3F8F"/>
          <w:sz w:val="19"/>
          <w:szCs w:val="19"/>
        </w:rPr>
        <w:t xml:space="preserve">ml/monitor.py</w:t>
      </w:r>
      <w:r>
        <w:t xml:space="preserve"> (modèle rejeté s'il recule de plus de 0,10 au seuil de blocage) et restauration du modèle précédent depuis le registre MLflow.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 ; identifiants de démo admin / Bloc2-Demo-2026).</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queries/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Analystes, jury</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 requêtes PostgreSQL et 11 MongoDB exécutées par </w:t>
            </w:r>
            <w:r>
              <w:rPr>
                <w:rFonts w:ascii="Consolas" w:cs="Consolas" w:eastAsia="Consolas" w:hAnsi="Consolas"/>
                <w:color w:val="3B3F8F"/>
                <w:sz w:val="16"/>
                <w:szCs w:val="16"/>
              </w:rPr>
              <w:t xml:space="preserve">make queries-check</w:t>
            </w:r>
            <w:r>
              <w:rPr>
                <w:sz w:val="18"/>
                <w:szCs w:val="18"/>
              </w:rPr>
              <w:t xml:space="preserve">, 5 requêtes Snowflake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http://localhost:8501</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Métier, risque,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Onglets Vue d’ensemble et Performance ML ; connexion de démo admin / Bloc2-Demo-2026</w:t>
            </w:r>
          </w:p>
        </w:tc>
      </w:tr>
    </w:tbl>
    <w:p>
      <w:pPr>
        <w:spacing w:after="120"/>
      </w:pPr>
    </w:p>
    <w:p>
      <w:pPr>
        <w:keepNext/>
        <w:spacing w:after="60" w:before="120"/>
        <w:jc w:val="center"/>
      </w:pPr>
      <w:r>
        <w:drawing>
          <wp:inline distT="0" distB="0" distL="0" distR="0">
            <wp:extent cx="5715000" cy="3314700"/>
            <wp:effectExtent t="0" r="0" b="0" l="0"/>
            <wp:docPr id="1" name="Structure du code : fichiers et fonctions clés, générée depuis le dépôt" descr="Structure du code : fichiers et fonctions clés, générée depuis le dépôt" title="Structure du code : fichiers et fonctions clés, générée depuis le dépô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Structure du code : fichiers et fonctions clés, générée depuis le dépôt</w:t>
      </w: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sur un compte d’essai,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babe3b18e93f845d3f9df83070d1c5b2762fbd.png"/><Relationship Id="rId10" Type="http://schemas.openxmlformats.org/officeDocument/2006/relationships/image" Target="media/e7470807284b77f968fcd7a09c0112a419bd4135.png"/><Relationship Id="rId11" Type="http://schemas.openxmlformats.org/officeDocument/2006/relationships/image" Target="media/19aed3ab8edbc86053c51847f7a34fe3ed4496c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2026-09-25T09:57:44.089Z</dcterms:created>
  <dcterms:modified xsi:type="dcterms:W3CDTF">2026-09-25T09:57:44.090Z</dcterms:modified>
</cp:coreProperties>
</file>

<file path=docProps/custom.xml><?xml version="1.0" encoding="utf-8"?>
<Properties xmlns="http://schemas.openxmlformats.org/officeDocument/2006/custom-properties" xmlns:vt="http://schemas.openxmlformats.org/officeDocument/2006/docPropsVTypes"/>
</file>