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9E2D78" w14:textId="77777777" w:rsidR="003A509B" w:rsidRDefault="00000000" w:rsidP="00565D6C">
      <w:pPr>
        <w:spacing w:before="1400" w:after="60"/>
        <w:ind w:firstLine="708"/>
        <w:jc w:val="center"/>
      </w:pPr>
      <w:r>
        <w:rPr>
          <w:b/>
          <w:bCs/>
          <w:color w:val="1F3A5F"/>
          <w:sz w:val="64"/>
          <w:szCs w:val="64"/>
        </w:rPr>
        <w:t>STRIPE</w:t>
      </w:r>
    </w:p>
    <w:p w14:paraId="0243479D" w14:textId="77777777" w:rsidR="003A509B" w:rsidRDefault="00000000">
      <w:pPr>
        <w:spacing w:after="40"/>
        <w:jc w:val="center"/>
      </w:pPr>
      <w:r>
        <w:rPr>
          <w:b/>
          <w:bCs/>
          <w:sz w:val="32"/>
          <w:szCs w:val="32"/>
        </w:rPr>
        <w:t>Infrastructure de Données et de Calcul pour l’IA</w:t>
      </w:r>
    </w:p>
    <w:p w14:paraId="6A1EFE8A" w14:textId="77777777" w:rsidR="003A509B" w:rsidRDefault="00000000">
      <w:pPr>
        <w:spacing w:after="480"/>
        <w:jc w:val="center"/>
      </w:pPr>
      <w:r>
        <w:rPr>
          <w:color w:val="534AB7"/>
          <w:sz w:val="26"/>
          <w:szCs w:val="26"/>
        </w:rPr>
        <w:t>Couverture des compétences du Bloc 2</w:t>
      </w:r>
    </w:p>
    <w:p w14:paraId="4217F04B" w14:textId="77777777" w:rsidR="003A509B" w:rsidRDefault="00000000">
      <w:pPr>
        <w:spacing w:after="30"/>
        <w:jc w:val="center"/>
      </w:pPr>
      <w:r>
        <w:rPr>
          <w:i/>
          <w:iCs/>
          <w:color w:val="5F5E5A"/>
          <w:sz w:val="18"/>
          <w:szCs w:val="18"/>
        </w:rPr>
        <w:t xml:space="preserve">Spécifications · Architecture · Cloud · </w:t>
      </w:r>
      <w:proofErr w:type="spellStart"/>
      <w:r>
        <w:rPr>
          <w:i/>
          <w:iCs/>
          <w:color w:val="5F5E5A"/>
          <w:sz w:val="18"/>
          <w:szCs w:val="18"/>
        </w:rPr>
        <w:t>IaC</w:t>
      </w:r>
      <w:proofErr w:type="spellEnd"/>
      <w:r>
        <w:rPr>
          <w:i/>
          <w:iCs/>
          <w:color w:val="5F5E5A"/>
          <w:sz w:val="18"/>
          <w:szCs w:val="18"/>
        </w:rPr>
        <w:t xml:space="preserve"> · Environnements · Résilience · Sécurité · </w:t>
      </w:r>
      <w:proofErr w:type="spellStart"/>
      <w:r>
        <w:rPr>
          <w:i/>
          <w:iCs/>
          <w:color w:val="5F5E5A"/>
          <w:sz w:val="18"/>
          <w:szCs w:val="18"/>
        </w:rPr>
        <w:t>FinOps</w:t>
      </w:r>
      <w:proofErr w:type="spellEnd"/>
      <w:r>
        <w:rPr>
          <w:i/>
          <w:iCs/>
          <w:color w:val="5F5E5A"/>
          <w:sz w:val="18"/>
          <w:szCs w:val="18"/>
        </w:rPr>
        <w:t xml:space="preserve"> · Coordination</w:t>
      </w:r>
    </w:p>
    <w:p w14:paraId="2B6A36E7" w14:textId="77777777" w:rsidR="003A509B" w:rsidRDefault="003A509B">
      <w:pPr>
        <w:spacing w:after="7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3A509B" w14:paraId="0D882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9049A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Champ</w:t>
            </w:r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242C3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Valeur</w:t>
            </w:r>
          </w:p>
        </w:tc>
      </w:tr>
      <w:tr w:rsidR="003A509B" w14:paraId="5FE1B808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C79F5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Candidat</w:t>
            </w:r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F7894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Patrice Duclos</w:t>
            </w:r>
          </w:p>
        </w:tc>
      </w:tr>
      <w:tr w:rsidR="003A509B" w14:paraId="6C7BFD9E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DE4E4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Certification</w:t>
            </w:r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304CD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AIA — RNCP41993 — Bloc 2</w:t>
            </w:r>
          </w:p>
        </w:tc>
      </w:tr>
      <w:tr w:rsidR="003A509B" w14:paraId="4EE383B7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D8BBC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Intitulé du bloc</w:t>
            </w:r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6965E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Concevoir et déployer l’infrastructure de données et de calcul pour l’IA</w:t>
            </w:r>
          </w:p>
        </w:tc>
      </w:tr>
      <w:tr w:rsidR="003A509B" w14:paraId="4E85E458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0EF15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Contexte</w:t>
            </w:r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0A5D0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Stripe — FinTech — Business Case</w:t>
            </w:r>
          </w:p>
        </w:tc>
      </w:tr>
      <w:tr w:rsidR="003A509B" w14:paraId="575902BF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DE43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Nature du livrable</w:t>
            </w:r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C5F18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PoC fonctionnel local + architecture cible industrialisée</w:t>
            </w:r>
          </w:p>
        </w:tc>
      </w:tr>
      <w:tr w:rsidR="003A509B" w14:paraId="502B2C5A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B3554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6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9861E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Juin 2026</w:t>
            </w:r>
          </w:p>
        </w:tc>
      </w:tr>
    </w:tbl>
    <w:p w14:paraId="2351517D" w14:textId="77777777" w:rsidR="003A509B" w:rsidRDefault="00000000">
      <w:r>
        <w:br w:type="page"/>
      </w:r>
    </w:p>
    <w:p w14:paraId="01AFE542" w14:textId="77777777" w:rsidR="003A509B" w:rsidRDefault="00000000">
      <w:pPr>
        <w:pStyle w:val="Titre1"/>
      </w:pPr>
      <w:bookmarkStart w:id="0" w:name="_Toc234414983"/>
      <w:r>
        <w:lastRenderedPageBreak/>
        <w:t>Préambule — lecture du document</w:t>
      </w:r>
      <w:bookmarkEnd w:id="0"/>
    </w:p>
    <w:p w14:paraId="53FAB4F8" w14:textId="77777777" w:rsidR="003A509B" w:rsidRDefault="00000000">
      <w:pPr>
        <w:spacing w:after="120" w:line="276" w:lineRule="auto"/>
      </w:pPr>
      <w:r>
        <w:t>Ce document met en regard les neuf compétences attendues au titre du Bloc 2 et les choix de conception du projet Stripe. Il s’appuie sur deux niveaux de lecture complémentaires, qu’il faut distinguer pour comprendre la démarche.</w:t>
      </w:r>
    </w:p>
    <w:p w14:paraId="53FD7D70" w14:textId="77777777" w:rsidR="003A509B" w:rsidRDefault="00000000">
      <w:pPr>
        <w:spacing w:after="120" w:line="276" w:lineRule="auto"/>
      </w:pPr>
      <w:r>
        <w:rPr>
          <w:b/>
          <w:bCs/>
        </w:rPr>
        <w:t xml:space="preserve">Le PoC fonctionnel local. </w:t>
      </w:r>
      <w:r>
        <w:t xml:space="preserve">Pour des raisons de budget, la solution a été réalisée et exécutée de bout en bout sur une machine personnelle, via Docker Compose. Elle est réellement fonctionnelle : flux transactionnel, capture de changement (CDC), </w:t>
      </w:r>
      <w:proofErr w:type="spellStart"/>
      <w:r>
        <w:t>scoring</w:t>
      </w:r>
      <w:proofErr w:type="spellEnd"/>
      <w:r>
        <w:t xml:space="preserve"> de fraude en streaming, persistance NoSQL et tableau de bord tournent ensemble. Ce PoC démontre la maîtrise de l’architecture sur un environnement maîtrisable et reproductible.</w:t>
      </w:r>
    </w:p>
    <w:p w14:paraId="3EC21F62" w14:textId="77777777" w:rsidR="003A509B" w:rsidRDefault="00000000">
      <w:pPr>
        <w:spacing w:after="120" w:line="276" w:lineRule="auto"/>
      </w:pPr>
      <w:r>
        <w:rPr>
          <w:b/>
          <w:bCs/>
        </w:rPr>
        <w:t xml:space="preserve">L’architecture cible industrialisée. </w:t>
      </w:r>
      <w:r>
        <w:t xml:space="preserve">Chaque composant local correspond à un service managé et à des choix d’industrialisation (Cloud, </w:t>
      </w:r>
      <w:proofErr w:type="spellStart"/>
      <w:r>
        <w:t>Terraform</w:t>
      </w:r>
      <w:proofErr w:type="spellEnd"/>
      <w:r>
        <w:t xml:space="preserve">, conteneurs, sécurité, </w:t>
      </w:r>
      <w:proofErr w:type="spellStart"/>
      <w:r>
        <w:t>FinOps</w:t>
      </w:r>
      <w:proofErr w:type="spellEnd"/>
      <w:r>
        <w:t>) décrits comme une conception aboutie. La section industrialisation met en avant l’ensemble des solutions proposées : le passage du PoC à la cible se fait par substitution de composants, sans changer la logique d’architecture.</w:t>
      </w:r>
    </w:p>
    <w:p w14:paraId="383AC972" w14:textId="77777777" w:rsidR="003A509B" w:rsidRDefault="00000000">
      <w:pPr>
        <w:spacing w:after="120" w:line="276" w:lineRule="auto"/>
      </w:pPr>
      <w:r>
        <w:rPr>
          <w:i/>
          <w:iCs/>
          <w:color w:val="5F5E5A"/>
        </w:rPr>
        <w:t>Autrement dit : la même architecture logique est démontrée à petite échelle sur un poste de travail, et spécifiée à grande échelle pour un déploiement de production.</w:t>
      </w:r>
    </w:p>
    <w:p w14:paraId="424EE1E5" w14:textId="77777777" w:rsidR="003A509B" w:rsidRDefault="00000000">
      <w:r>
        <w:br w:type="page"/>
      </w:r>
    </w:p>
    <w:p w14:paraId="673CF2F8" w14:textId="77777777" w:rsidR="003A509B" w:rsidRDefault="00000000">
      <w:pPr>
        <w:pStyle w:val="Titre1"/>
      </w:pPr>
      <w:bookmarkStart w:id="1" w:name="_Toc234414984"/>
      <w:r>
        <w:lastRenderedPageBreak/>
        <w:t>Sommaire</w:t>
      </w:r>
      <w:bookmarkEnd w:id="1"/>
    </w:p>
    <w:sdt>
      <w:sdtPr>
        <w:alias w:val="Sommaire"/>
        <w:id w:val="980819821"/>
      </w:sdtPr>
      <w:sdtContent>
        <w:p w14:paraId="2841F9B3" w14:textId="77777777" w:rsidR="00565D6C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14983" w:history="1">
            <w:r w:rsidR="00565D6C" w:rsidRPr="00B60950">
              <w:rPr>
                <w:rStyle w:val="Lienhypertexte"/>
                <w:noProof/>
              </w:rPr>
              <w:t>Préambule — lecture du document</w:t>
            </w:r>
            <w:r w:rsidR="00565D6C">
              <w:rPr>
                <w:noProof/>
              </w:rPr>
              <w:tab/>
            </w:r>
            <w:r w:rsidR="00565D6C">
              <w:rPr>
                <w:noProof/>
              </w:rPr>
              <w:fldChar w:fldCharType="begin"/>
            </w:r>
            <w:r w:rsidR="00565D6C">
              <w:rPr>
                <w:noProof/>
              </w:rPr>
              <w:instrText xml:space="preserve"> PAGEREF _Toc234414983 \h </w:instrText>
            </w:r>
            <w:r w:rsidR="00565D6C">
              <w:rPr>
                <w:noProof/>
              </w:rPr>
            </w:r>
            <w:r w:rsidR="00565D6C">
              <w:rPr>
                <w:noProof/>
              </w:rPr>
              <w:fldChar w:fldCharType="separate"/>
            </w:r>
            <w:r w:rsidR="00565D6C">
              <w:rPr>
                <w:noProof/>
              </w:rPr>
              <w:t>1</w:t>
            </w:r>
            <w:r w:rsidR="00565D6C">
              <w:rPr>
                <w:noProof/>
              </w:rPr>
              <w:fldChar w:fldCharType="end"/>
            </w:r>
          </w:hyperlink>
        </w:p>
        <w:p w14:paraId="06150732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4984" w:history="1">
            <w:r w:rsidRPr="00B60950">
              <w:rPr>
                <w:rStyle w:val="Lienhypertexte"/>
                <w:noProof/>
              </w:rPr>
              <w:t>Sommaire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C1C15C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4985" w:history="1">
            <w:r w:rsidRPr="00B60950">
              <w:rPr>
                <w:rStyle w:val="Lienhypertexte"/>
                <w:noProof/>
              </w:rPr>
              <w:t>1. Synthèse : du PoC local à la cible industrialisée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23C919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4986" w:history="1">
            <w:r w:rsidRPr="00B60950">
              <w:rPr>
                <w:rStyle w:val="Lienhypertexte"/>
                <w:noProof/>
              </w:rPr>
              <w:t>2. Définir les spécifications techniques d’infrastructure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E6CCD4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4987" w:history="1">
            <w:r w:rsidRPr="00B60950">
              <w:rPr>
                <w:rStyle w:val="Lienhypertexte"/>
                <w:noProof/>
              </w:rPr>
              <w:t>Dimensionnement par usage (cible)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CA786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4988" w:history="1">
            <w:r w:rsidRPr="00B60950">
              <w:rPr>
                <w:rStyle w:val="Lienhypertexte"/>
                <w:noProof/>
              </w:rPr>
              <w:t>PoC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39699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4989" w:history="1">
            <w:r w:rsidRPr="00B60950">
              <w:rPr>
                <w:rStyle w:val="Lienhypertexte"/>
                <w:noProof/>
              </w:rPr>
              <w:t>3. Concevoir une architecture Data &amp; IA évolutive et industrialisable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753A08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4990" w:history="1">
            <w:r w:rsidRPr="00B60950">
              <w:rPr>
                <w:rStyle w:val="Lienhypertexte"/>
                <w:noProof/>
              </w:rPr>
              <w:t>Architecture logique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402591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4991" w:history="1">
            <w:r w:rsidRPr="00B60950">
              <w:rPr>
                <w:rStyle w:val="Lienhypertexte"/>
                <w:noProof/>
              </w:rPr>
              <w:t>Architecture physique (cible)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EDEB4B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4992" w:history="1">
            <w:r w:rsidRPr="00B60950">
              <w:rPr>
                <w:rStyle w:val="Lienhypertexte"/>
                <w:noProof/>
              </w:rPr>
              <w:t>Évolutivité et industrialisation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6857E3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4993" w:history="1">
            <w:r w:rsidRPr="00B60950">
              <w:rPr>
                <w:rStyle w:val="Lienhypertexte"/>
                <w:noProof/>
              </w:rPr>
              <w:t>4. Arbitrer les choix Cloud / On-Premise / Hybride et IaaS / PaaS / Serverless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08FC7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4994" w:history="1">
            <w:r w:rsidRPr="00B60950">
              <w:rPr>
                <w:rStyle w:val="Lienhypertexte"/>
                <w:noProof/>
              </w:rPr>
              <w:t>Matrice de décision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8D035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4995" w:history="1">
            <w:r w:rsidRPr="00B60950">
              <w:rPr>
                <w:rStyle w:val="Lienhypertexte"/>
                <w:noProof/>
              </w:rPr>
              <w:t>5. Industrialiser via l’Infrastructure as Code (Terraform)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87852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4996" w:history="1">
            <w:r w:rsidRPr="00B60950">
              <w:rPr>
                <w:rStyle w:val="Lienhypertexte"/>
                <w:noProof/>
              </w:rPr>
              <w:t>Organisation du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AC86F5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4997" w:history="1">
            <w:r w:rsidRPr="00B60950">
              <w:rPr>
                <w:rStyle w:val="Lienhypertexte"/>
                <w:noProof/>
              </w:rPr>
              <w:t>Extrait illustratif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C21C14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4998" w:history="1">
            <w:r w:rsidRPr="00B60950">
              <w:rPr>
                <w:rStyle w:val="Lienhypertexte"/>
                <w:noProof/>
              </w:rPr>
              <w:t>6. Structurer les environnements (Data Lake, bases vectorielles, conteneurs)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BBF226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4999" w:history="1">
            <w:r w:rsidRPr="00B60950">
              <w:rPr>
                <w:rStyle w:val="Lienhypertexte"/>
                <w:noProof/>
              </w:rPr>
              <w:t>Data Lake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_Toc234414999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456F32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00" w:history="1">
            <w:r w:rsidRPr="00B60950">
              <w:rPr>
                <w:rStyle w:val="Lienhypertexte"/>
                <w:noProof/>
              </w:rPr>
              <w:t>Bases vectorielles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C7D7BD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01" w:history="1">
            <w:r w:rsidRPr="00B60950">
              <w:rPr>
                <w:rStyle w:val="Lienhypertexte"/>
                <w:noProof/>
              </w:rPr>
              <w:t>Conteneurs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AC29D4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5002" w:history="1">
            <w:r w:rsidRPr="00B60950">
              <w:rPr>
                <w:rStyle w:val="Lienhypertexte"/>
                <w:noProof/>
              </w:rPr>
              <w:t>7. Garantir la résilience et la haute disponibilité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CD7E63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03" w:history="1">
            <w:r w:rsidRPr="00B60950">
              <w:rPr>
                <w:rStyle w:val="Lienhypertexte"/>
                <w:noProof/>
              </w:rPr>
              <w:t>Mécanismes par composant (cible)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7663AB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04" w:history="1">
            <w:r w:rsidRPr="00B60950">
              <w:rPr>
                <w:rStyle w:val="Lienhypertexte"/>
                <w:noProof/>
              </w:rPr>
              <w:t>Scalabilité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DA90CF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5005" w:history="1">
            <w:r w:rsidRPr="00B60950">
              <w:rPr>
                <w:rStyle w:val="Lienhypertexte"/>
                <w:noProof/>
              </w:rPr>
              <w:t>8. Mettre en place la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F20813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06" w:history="1">
            <w:r w:rsidRPr="00B60950">
              <w:rPr>
                <w:rStyle w:val="Lienhypertexte"/>
                <w:noProof/>
              </w:rPr>
              <w:t>IAM et contrôle d’accès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2CA78D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07" w:history="1">
            <w:r w:rsidRPr="00B60950">
              <w:rPr>
                <w:rStyle w:val="Lienhypertexte"/>
                <w:noProof/>
              </w:rPr>
              <w:t>Chiffrement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4C695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08" w:history="1">
            <w:r w:rsidRPr="00B60950">
              <w:rPr>
                <w:rStyle w:val="Lienhypertexte"/>
                <w:noProof/>
              </w:rPr>
              <w:t>Gestion des secrets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E30D6F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09" w:history="1">
            <w:r w:rsidRPr="00B60950">
              <w:rPr>
                <w:rStyle w:val="Lienhypertexte"/>
                <w:noProof/>
              </w:rPr>
              <w:t>Audit et conformité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723DA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5010" w:history="1">
            <w:r w:rsidRPr="00B60950">
              <w:rPr>
                <w:rStyle w:val="Lienhypertexte"/>
                <w:noProof/>
              </w:rPr>
              <w:t>9. Piloter l’efficience (FinOps / GreenOps)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75BCD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11" w:history="1">
            <w:r w:rsidRPr="00B60950">
              <w:rPr>
                <w:rStyle w:val="Lienhypertexte"/>
                <w:noProof/>
              </w:rPr>
              <w:t>FinOps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09C02E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12" w:history="1">
            <w:r w:rsidRPr="00B60950">
              <w:rPr>
                <w:rStyle w:val="Lienhypertexte"/>
                <w:noProof/>
              </w:rPr>
              <w:t>GreenOps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1E9674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5013" w:history="1">
            <w:r w:rsidRPr="00B60950">
              <w:rPr>
                <w:rStyle w:val="Lienhypertexte"/>
                <w:noProof/>
              </w:rPr>
              <w:t>10. Documenter et coordonner les équipes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7EAFA4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14" w:history="1">
            <w:r w:rsidRPr="00B60950">
              <w:rPr>
                <w:rStyle w:val="Lienhypertexte"/>
                <w:noProof/>
              </w:rPr>
              <w:t>Documentation produite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24F5B3" w14:textId="77777777" w:rsidR="00565D6C" w:rsidRDefault="00565D6C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4415015" w:history="1">
            <w:r w:rsidRPr="00B60950">
              <w:rPr>
                <w:rStyle w:val="Lienhypertexte"/>
                <w:noProof/>
              </w:rPr>
              <w:t>Coordination des équipes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F2CD09" w14:textId="77777777" w:rsidR="00565D6C" w:rsidRDefault="00565D6C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4415016" w:history="1">
            <w:r w:rsidRPr="00B60950">
              <w:rPr>
                <w:rStyle w:val="Lienhypertexte"/>
                <w:noProof/>
              </w:rPr>
              <w:t>11.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_Toc234415016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B0B999" w14:textId="77777777" w:rsidR="003A509B" w:rsidRDefault="00000000">
          <w:r>
            <w:fldChar w:fldCharType="end"/>
          </w:r>
        </w:p>
      </w:sdtContent>
    </w:sdt>
    <w:p w14:paraId="64CCE890" w14:textId="77777777" w:rsidR="003A509B" w:rsidRDefault="00000000">
      <w:r>
        <w:br w:type="page"/>
      </w:r>
    </w:p>
    <w:p w14:paraId="2402CF2E" w14:textId="77777777" w:rsidR="003A509B" w:rsidRDefault="00000000">
      <w:pPr>
        <w:pStyle w:val="Titre1"/>
      </w:pPr>
      <w:bookmarkStart w:id="2" w:name="_Toc234414985"/>
      <w:r>
        <w:lastRenderedPageBreak/>
        <w:t>1. Synthèse : du PoC local à la cible industrialisée</w:t>
      </w:r>
      <w:bookmarkEnd w:id="2"/>
    </w:p>
    <w:p w14:paraId="1AD2DCA6" w14:textId="77777777" w:rsidR="003A509B" w:rsidRDefault="00000000">
      <w:pPr>
        <w:spacing w:after="120" w:line="276" w:lineRule="auto"/>
      </w:pPr>
      <w:r>
        <w:t>Le tableau ci-dessous résume la correspondance entre les composants démontrés localement et leur équivalent industrialisé. Il sert de fil conducteur à l’ensemble du document.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13"/>
        <w:gridCol w:w="3213"/>
      </w:tblGrid>
      <w:tr w:rsidR="003A509B" w14:paraId="5C908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783FA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Couche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EE615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PoC local (Docker Compose)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DB2C8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Cible industrialisée (Cloud managé)</w:t>
            </w:r>
          </w:p>
        </w:tc>
      </w:tr>
      <w:tr w:rsidR="003A509B" w14:paraId="4EEB0B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F1584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OLTP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92DD0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PostgreSQL 16 (conteneur)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F5BA1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Amazon RDS PostgreSQL Multi-AZ +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replicas</w:t>
            </w:r>
            <w:proofErr w:type="spellEnd"/>
          </w:p>
        </w:tc>
      </w:tr>
      <w:tr w:rsidR="003A509B" w14:paraId="34D45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368CB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CDC / Streaming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7F41D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Debezium</w:t>
            </w:r>
            <w:proofErr w:type="spellEnd"/>
            <w:r>
              <w:rPr>
                <w:sz w:val="19"/>
                <w:szCs w:val="19"/>
              </w:rPr>
              <w:t xml:space="preserve"> + Kafka (conteneurs)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CB123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Amazon MSK + </w:t>
            </w:r>
            <w:proofErr w:type="spellStart"/>
            <w:r>
              <w:rPr>
                <w:sz w:val="19"/>
                <w:szCs w:val="19"/>
              </w:rPr>
              <w:t>Debezium</w:t>
            </w:r>
            <w:proofErr w:type="spellEnd"/>
            <w:r>
              <w:rPr>
                <w:sz w:val="19"/>
                <w:szCs w:val="19"/>
              </w:rPr>
              <w:t xml:space="preserve"> sur MSK </w:t>
            </w:r>
            <w:proofErr w:type="spellStart"/>
            <w:r>
              <w:rPr>
                <w:sz w:val="19"/>
                <w:szCs w:val="19"/>
              </w:rPr>
              <w:t>Connect</w:t>
            </w:r>
            <w:proofErr w:type="spellEnd"/>
          </w:p>
        </w:tc>
      </w:tr>
      <w:tr w:rsidR="003A509B" w14:paraId="064507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A2A97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Traitement flux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0B6B2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Job PyFlink local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DD4AE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Amazon </w:t>
            </w:r>
            <w:proofErr w:type="spellStart"/>
            <w:r>
              <w:rPr>
                <w:sz w:val="19"/>
                <w:szCs w:val="19"/>
              </w:rPr>
              <w:t>Managed</w:t>
            </w:r>
            <w:proofErr w:type="spellEnd"/>
            <w:r>
              <w:rPr>
                <w:sz w:val="19"/>
                <w:szCs w:val="19"/>
              </w:rPr>
              <w:t xml:space="preserve"> Service for Apache Flink</w:t>
            </w:r>
          </w:p>
        </w:tc>
      </w:tr>
      <w:tr w:rsidR="003A509B" w14:paraId="164059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8EAEF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store online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98C5F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Redis (conteneur)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ADF2B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Amazon </w:t>
            </w:r>
            <w:proofErr w:type="spellStart"/>
            <w:r>
              <w:rPr>
                <w:sz w:val="19"/>
                <w:szCs w:val="19"/>
              </w:rPr>
              <w:t>ElastiCache</w:t>
            </w:r>
            <w:proofErr w:type="spellEnd"/>
            <w:r>
              <w:rPr>
                <w:sz w:val="19"/>
                <w:szCs w:val="19"/>
              </w:rPr>
              <w:t xml:space="preserve"> for Redis (cluster)</w:t>
            </w:r>
          </w:p>
        </w:tc>
      </w:tr>
      <w:tr w:rsidR="003A509B" w14:paraId="128182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56387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NoSQL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81372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MongoDB 7 (conteneur)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F01B7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MongoDB Atlas (</w:t>
            </w:r>
            <w:proofErr w:type="spellStart"/>
            <w:r>
              <w:rPr>
                <w:sz w:val="19"/>
                <w:szCs w:val="19"/>
              </w:rPr>
              <w:t>replica</w:t>
            </w:r>
            <w:proofErr w:type="spellEnd"/>
            <w:r>
              <w:rPr>
                <w:sz w:val="19"/>
                <w:szCs w:val="19"/>
              </w:rPr>
              <w:t xml:space="preserve"> set multi-AZ)</w:t>
            </w:r>
          </w:p>
        </w:tc>
      </w:tr>
      <w:tr w:rsidR="003A509B" w14:paraId="43AE78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28B5E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OLAP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9525D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Schéma en étoile (modèle)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9A2FC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Snowflake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BigQuery</w:t>
            </w:r>
            <w:proofErr w:type="spellEnd"/>
            <w:r>
              <w:rPr>
                <w:sz w:val="19"/>
                <w:szCs w:val="19"/>
              </w:rPr>
              <w:t xml:space="preserve"> + Data Lake S3 (Iceberg)</w:t>
            </w:r>
          </w:p>
        </w:tc>
      </w:tr>
      <w:tr w:rsidR="003A509B" w14:paraId="4936B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96116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Orchestration batch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E574A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Scripts + </w:t>
            </w:r>
            <w:proofErr w:type="spellStart"/>
            <w:r>
              <w:rPr>
                <w:sz w:val="19"/>
                <w:szCs w:val="19"/>
              </w:rPr>
              <w:t>Makefile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7AAF8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Amazon MWAA (</w:t>
            </w:r>
            <w:proofErr w:type="spellStart"/>
            <w:r>
              <w:rPr>
                <w:sz w:val="19"/>
                <w:szCs w:val="19"/>
              </w:rPr>
              <w:t>Airflow</w:t>
            </w:r>
            <w:proofErr w:type="spellEnd"/>
            <w:r>
              <w:rPr>
                <w:sz w:val="19"/>
                <w:szCs w:val="19"/>
              </w:rPr>
              <w:t xml:space="preserve"> managé)</w:t>
            </w:r>
          </w:p>
        </w:tc>
      </w:tr>
      <w:tr w:rsidR="003A509B" w14:paraId="564527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25289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ML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522C5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Scoring</w:t>
            </w:r>
            <w:proofErr w:type="spellEnd"/>
            <w:r>
              <w:rPr>
                <w:sz w:val="19"/>
                <w:szCs w:val="19"/>
              </w:rPr>
              <w:t xml:space="preserve"> par règles (Flink)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3A09B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SageMaker</w:t>
            </w:r>
            <w:proofErr w:type="spellEnd"/>
            <w:r>
              <w:rPr>
                <w:sz w:val="19"/>
                <w:szCs w:val="19"/>
              </w:rPr>
              <w:t xml:space="preserve"> (entraînement GPU + </w:t>
            </w:r>
            <w:proofErr w:type="spellStart"/>
            <w:r>
              <w:rPr>
                <w:sz w:val="19"/>
                <w:szCs w:val="19"/>
              </w:rPr>
              <w:t>serving</w:t>
            </w:r>
            <w:proofErr w:type="spellEnd"/>
            <w:r>
              <w:rPr>
                <w:sz w:val="19"/>
                <w:szCs w:val="19"/>
              </w:rPr>
              <w:t xml:space="preserve"> temps réel)</w:t>
            </w:r>
          </w:p>
        </w:tc>
      </w:tr>
      <w:tr w:rsidR="003A509B" w14:paraId="1A7E78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FFDB9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Restitution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56784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Dashboard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10D78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QuickSight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sur ECS</w:t>
            </w:r>
          </w:p>
        </w:tc>
      </w:tr>
      <w:tr w:rsidR="003A509B" w14:paraId="705C46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83048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Provisioning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0E565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docker-</w:t>
            </w:r>
            <w:proofErr w:type="spellStart"/>
            <w:r>
              <w:rPr>
                <w:sz w:val="19"/>
                <w:szCs w:val="19"/>
              </w:rPr>
              <w:t>compose.yml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CFFC1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Terraform</w:t>
            </w:r>
            <w:proofErr w:type="spellEnd"/>
            <w:r>
              <w:rPr>
                <w:sz w:val="19"/>
                <w:szCs w:val="19"/>
              </w:rPr>
              <w:t xml:space="preserve"> (modules + state distant)</w:t>
            </w:r>
          </w:p>
        </w:tc>
      </w:tr>
    </w:tbl>
    <w:p w14:paraId="1F0D1E9E" w14:textId="77777777" w:rsidR="003A509B" w:rsidRDefault="00000000">
      <w:r>
        <w:br w:type="page"/>
      </w:r>
    </w:p>
    <w:p w14:paraId="555C5542" w14:textId="77777777" w:rsidR="003A509B" w:rsidRDefault="00000000">
      <w:pPr>
        <w:pStyle w:val="Titre1"/>
      </w:pPr>
      <w:bookmarkStart w:id="3" w:name="_Toc234414986"/>
      <w:r>
        <w:lastRenderedPageBreak/>
        <w:t>2. Définir les spécifications techniques d’infrastructure</w:t>
      </w:r>
      <w:bookmarkEnd w:id="3"/>
    </w:p>
    <w:p w14:paraId="523FB837" w14:textId="77777777" w:rsidR="003A509B" w:rsidRDefault="00000000">
      <w:pPr>
        <w:spacing w:after="160" w:line="276" w:lineRule="auto"/>
      </w:pPr>
      <w:r>
        <w:rPr>
          <w:b/>
          <w:bCs/>
          <w:color w:val="534AB7"/>
        </w:rPr>
        <w:t xml:space="preserve">Compétence attendue — </w:t>
      </w:r>
      <w:r>
        <w:rPr>
          <w:i/>
          <w:iCs/>
        </w:rPr>
        <w:t>Définir les spécifications techniques d’infrastructure (CPU/GPU, stockage, réseau).</w:t>
      </w:r>
    </w:p>
    <w:p w14:paraId="718AFDC1" w14:textId="77777777" w:rsidR="003A509B" w:rsidRDefault="00000000">
      <w:pPr>
        <w:spacing w:after="120" w:line="276" w:lineRule="auto"/>
      </w:pPr>
      <w:r>
        <w:t xml:space="preserve">Les besoins de Stripe diffèrent radicalement selon la charge : l’OLTP est sensible à la latence et à la concurrence, le streaming est gourmand en CPU et en réseau, l’entraînement ML exige du GPU, et le </w:t>
      </w:r>
      <w:proofErr w:type="spellStart"/>
      <w:r>
        <w:t>feature</w:t>
      </w:r>
      <w:proofErr w:type="spellEnd"/>
      <w:r>
        <w:t xml:space="preserve"> store réclame de la mémoire rapide. Le dimensionnement est donc spécifié par usage, pas de façon uniforme.</w:t>
      </w:r>
    </w:p>
    <w:p w14:paraId="7C35C4E7" w14:textId="77777777" w:rsidR="003A509B" w:rsidRDefault="00000000">
      <w:pPr>
        <w:pStyle w:val="Titre2"/>
      </w:pPr>
      <w:bookmarkStart w:id="4" w:name="_Toc234414987"/>
      <w:r>
        <w:t>Dimensionnement par usage (cible)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2300"/>
        <w:gridCol w:w="2326"/>
      </w:tblGrid>
      <w:tr w:rsidR="003A509B" w14:paraId="05B90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FD26C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Usage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8407F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Calcul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EF1A6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Stockage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938E8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Réseau</w:t>
            </w:r>
          </w:p>
        </w:tc>
      </w:tr>
      <w:tr w:rsidR="003A509B" w14:paraId="735FD7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55EE3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OLTP (RDS)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5EEF2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Mémoire-optimisé (r6i/r6g), forte concurrence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CBADF" w14:textId="77777777" w:rsidR="003A509B" w:rsidRDefault="00000000">
            <w:pPr>
              <w:spacing w:line="252" w:lineRule="auto"/>
            </w:pPr>
            <w:proofErr w:type="gramStart"/>
            <w:r>
              <w:rPr>
                <w:sz w:val="19"/>
                <w:szCs w:val="19"/>
              </w:rPr>
              <w:t>io</w:t>
            </w:r>
            <w:proofErr w:type="gramEnd"/>
            <w:r>
              <w:rPr>
                <w:sz w:val="19"/>
                <w:szCs w:val="19"/>
              </w:rPr>
              <w:t>2 à IOPS provisionnés, latence &lt; 50 ms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9A15A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VPC privé multi-AZ, réplication synchrone</w:t>
            </w:r>
          </w:p>
        </w:tc>
      </w:tr>
      <w:tr w:rsidR="003A509B" w14:paraId="7B6885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FDA1B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Streaming (Kafka/Flink)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F0D28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Compute</w:t>
            </w:r>
            <w:proofErr w:type="spellEnd"/>
            <w:r>
              <w:rPr>
                <w:sz w:val="19"/>
                <w:szCs w:val="19"/>
              </w:rPr>
              <w:t>-optimisé (c6i), parallélisme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89F15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Stockage local </w:t>
            </w:r>
            <w:proofErr w:type="spellStart"/>
            <w:r>
              <w:rPr>
                <w:sz w:val="19"/>
                <w:szCs w:val="19"/>
              </w:rPr>
              <w:t>NVMe</w:t>
            </w:r>
            <w:proofErr w:type="spellEnd"/>
            <w:r>
              <w:rPr>
                <w:sz w:val="19"/>
                <w:szCs w:val="19"/>
              </w:rPr>
              <w:t xml:space="preserve"> pour checkpoints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BC385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10–25 </w:t>
            </w:r>
            <w:proofErr w:type="spellStart"/>
            <w:r>
              <w:rPr>
                <w:sz w:val="19"/>
                <w:szCs w:val="19"/>
              </w:rPr>
              <w:t>Gbps</w:t>
            </w:r>
            <w:proofErr w:type="spellEnd"/>
            <w:r>
              <w:rPr>
                <w:sz w:val="19"/>
                <w:szCs w:val="19"/>
              </w:rPr>
              <w:t>, placement group</w:t>
            </w:r>
          </w:p>
        </w:tc>
      </w:tr>
      <w:tr w:rsidR="003A509B" w14:paraId="37D7C2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49F8F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store (Redis)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A2ADC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Mémoire-optimisé (r6g)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B01C8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 mémoire, persistance AOF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0108D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Latence intra-AZ &lt; 1 ms</w:t>
            </w:r>
          </w:p>
        </w:tc>
      </w:tr>
      <w:tr w:rsidR="003A509B" w14:paraId="2D4925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2C5BE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Entraînement ML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8FD56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GPU NVIDIA A10G/A100 (g5/p4d)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BBB10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S3 (jeux d’entraînement), EBS gp3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4212A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EFA pour multi-GPU</w:t>
            </w:r>
          </w:p>
        </w:tc>
      </w:tr>
      <w:tr w:rsidR="003A509B" w14:paraId="4FDF2A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504AC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Inférence fraude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1385E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GPU léger (g5) ou </w:t>
            </w:r>
            <w:proofErr w:type="spellStart"/>
            <w:r>
              <w:rPr>
                <w:sz w:val="19"/>
                <w:szCs w:val="19"/>
              </w:rPr>
              <w:t>Inferentia</w:t>
            </w:r>
            <w:proofErr w:type="spellEnd"/>
            <w:r>
              <w:rPr>
                <w:sz w:val="19"/>
                <w:szCs w:val="19"/>
              </w:rPr>
              <w:t xml:space="preserve"> (inf2), </w:t>
            </w:r>
            <w:proofErr w:type="spellStart"/>
            <w:r>
              <w:rPr>
                <w:sz w:val="19"/>
                <w:szCs w:val="19"/>
              </w:rPr>
              <w:t>autoscaling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C279E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Modèles versionnés sur S3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8BE73" w14:textId="77777777" w:rsidR="003A509B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gRPC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faible latence</w:t>
            </w:r>
          </w:p>
        </w:tc>
      </w:tr>
      <w:tr w:rsidR="003A509B" w14:paraId="2B4559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7F3F2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Data Lake / OLAP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66FD7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Élastique (</w:t>
            </w:r>
            <w:proofErr w:type="spellStart"/>
            <w:r>
              <w:rPr>
                <w:sz w:val="19"/>
                <w:szCs w:val="19"/>
              </w:rPr>
              <w:t>Snowflake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warehouses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D7EA4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S3 Parquet/Iceberg, </w:t>
            </w:r>
            <w:proofErr w:type="spellStart"/>
            <w:r>
              <w:rPr>
                <w:sz w:val="19"/>
                <w:szCs w:val="19"/>
              </w:rPr>
              <w:t>tiering</w:t>
            </w:r>
            <w:proofErr w:type="spellEnd"/>
            <w:r>
              <w:rPr>
                <w:sz w:val="19"/>
                <w:szCs w:val="19"/>
              </w:rPr>
              <w:t xml:space="preserve"> IA/Glacier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05D3A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PrivateLink</w:t>
            </w:r>
            <w:proofErr w:type="spellEnd"/>
            <w:r>
              <w:rPr>
                <w:sz w:val="19"/>
                <w:szCs w:val="19"/>
              </w:rPr>
              <w:t xml:space="preserve"> vers </w:t>
            </w:r>
            <w:proofErr w:type="spellStart"/>
            <w:r>
              <w:rPr>
                <w:sz w:val="19"/>
                <w:szCs w:val="19"/>
              </w:rPr>
              <w:t>warehouse</w:t>
            </w:r>
            <w:proofErr w:type="spellEnd"/>
          </w:p>
        </w:tc>
      </w:tr>
    </w:tbl>
    <w:p w14:paraId="1E8599C0" w14:textId="77777777" w:rsidR="003A509B" w:rsidRDefault="00000000">
      <w:pPr>
        <w:pStyle w:val="Titre2"/>
      </w:pPr>
      <w:bookmarkStart w:id="5" w:name="_Toc234414988"/>
      <w:r>
        <w:t>PoC local</w:t>
      </w:r>
      <w:bookmarkEnd w:id="5"/>
    </w:p>
    <w:p w14:paraId="06680FBA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Exécution sur poste de travail : conteneurs avec limites de ressources (CPU/RAM bornées) suffisantes pour ~5 transactions/s et un jeu de 200 marchands / 5 000 clients.</w:t>
      </w:r>
    </w:p>
    <w:p w14:paraId="61301627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Pas de GPU requis pour la démo : le </w:t>
      </w:r>
      <w:proofErr w:type="spellStart"/>
      <w:r>
        <w:t>scoring</w:t>
      </w:r>
      <w:proofErr w:type="spellEnd"/>
      <w:r>
        <w:t xml:space="preserve"> de fraude est assuré par un moteur de règles temps réel équivalent fonctionnel au modèle ML, ce qui permet de valider la chaîne sans coût d’infrastructure.</w:t>
      </w:r>
    </w:p>
    <w:p w14:paraId="0CCED03B" w14:textId="77777777" w:rsidR="003A509B" w:rsidRDefault="00000000">
      <w:pPr>
        <w:spacing w:after="120" w:line="276" w:lineRule="auto"/>
      </w:pPr>
      <w:r>
        <w:rPr>
          <w:b/>
          <w:bCs/>
        </w:rPr>
        <w:t xml:space="preserve">Justification : </w:t>
      </w:r>
      <w:r>
        <w:t>le PoC prouve la latence et la cohérence de la chaîne ; la cible documente le passage à l’échelle (millions de transactions/jour) par le choix de familles d’instances adaptées et un stockage hiérarchisé chaud/tiède/froid.</w:t>
      </w:r>
    </w:p>
    <w:p w14:paraId="751716C9" w14:textId="77777777" w:rsidR="003A509B" w:rsidRDefault="00000000">
      <w:r>
        <w:br w:type="page"/>
      </w:r>
    </w:p>
    <w:p w14:paraId="11D2156F" w14:textId="77777777" w:rsidR="003A509B" w:rsidRDefault="00000000">
      <w:pPr>
        <w:pStyle w:val="Titre1"/>
      </w:pPr>
      <w:bookmarkStart w:id="6" w:name="_Toc234414989"/>
      <w:r>
        <w:lastRenderedPageBreak/>
        <w:t>3. Concevoir une architecture Data &amp; IA évolutive et industrialisable</w:t>
      </w:r>
      <w:bookmarkEnd w:id="6"/>
    </w:p>
    <w:p w14:paraId="438CF2E7" w14:textId="77777777" w:rsidR="003A509B" w:rsidRDefault="00000000">
      <w:pPr>
        <w:spacing w:after="160" w:line="276" w:lineRule="auto"/>
      </w:pPr>
      <w:r>
        <w:rPr>
          <w:b/>
          <w:bCs/>
          <w:color w:val="534AB7"/>
        </w:rPr>
        <w:t xml:space="preserve">Compétence attendue — </w:t>
      </w:r>
      <w:r>
        <w:rPr>
          <w:i/>
          <w:iCs/>
        </w:rPr>
        <w:t>Concevoir une architecture Data &amp; IA (logique et physique) évolutive et industrialisable.</w:t>
      </w:r>
    </w:p>
    <w:p w14:paraId="114F6EDF" w14:textId="77777777" w:rsidR="003A509B" w:rsidRDefault="00000000">
      <w:pPr>
        <w:pStyle w:val="Titre2"/>
      </w:pPr>
      <w:bookmarkStart w:id="7" w:name="_Toc234414990"/>
      <w:r>
        <w:t>Architecture logique</w:t>
      </w:r>
      <w:bookmarkEnd w:id="7"/>
    </w:p>
    <w:p w14:paraId="2F5D2A85" w14:textId="77777777" w:rsidR="003A509B" w:rsidRDefault="00000000">
      <w:pPr>
        <w:spacing w:after="120" w:line="276" w:lineRule="auto"/>
      </w:pPr>
      <w:r>
        <w:t>L’architecture est polyglotte : chaque système est dédié à ce qu’il fait le mieux. PostgreSQL assure l’ACID transactionnel ; un schéma en étoile (</w:t>
      </w:r>
      <w:proofErr w:type="spellStart"/>
      <w:r>
        <w:t>Snowflake</w:t>
      </w:r>
      <w:proofErr w:type="spellEnd"/>
      <w:r>
        <w:t xml:space="preserve">) sert l’analytique ; MongoDB stocke le semi-structuré et les </w:t>
      </w:r>
      <w:proofErr w:type="spellStart"/>
      <w:r>
        <w:t>features</w:t>
      </w:r>
      <w:proofErr w:type="spellEnd"/>
      <w:r>
        <w:t xml:space="preserve"> ML ; Redis fournit les </w:t>
      </w:r>
      <w:proofErr w:type="spellStart"/>
      <w:r>
        <w:t>features</w:t>
      </w:r>
      <w:proofErr w:type="spellEnd"/>
      <w:r>
        <w:t xml:space="preserve"> online ; Kafka découple l’ensemble par un bus d’événements. Deux canaux coexistent : un canal temps réel (CDC → Kafka → Flink, &lt; 100 ms pour la fraude) et un canal batch (</w:t>
      </w:r>
      <w:proofErr w:type="spellStart"/>
      <w:r>
        <w:t>Airflow</w:t>
      </w:r>
      <w:proofErr w:type="spellEnd"/>
      <w:r>
        <w:t xml:space="preserve"> → entrepôt, exhaustivité analytique).</w:t>
      </w:r>
    </w:p>
    <w:p w14:paraId="2434EB10" w14:textId="77777777" w:rsidR="003A509B" w:rsidRDefault="00000000">
      <w:pPr>
        <w:spacing w:after="120" w:line="276" w:lineRule="auto"/>
      </w:pPr>
      <w:r>
        <w:rPr>
          <w:i/>
          <w:iCs/>
          <w:color w:val="5F5E5A"/>
        </w:rPr>
        <w:t xml:space="preserve">Le parcours complet de la donnée (de la transaction au </w:t>
      </w:r>
      <w:proofErr w:type="spellStart"/>
      <w:r>
        <w:rPr>
          <w:i/>
          <w:iCs/>
          <w:color w:val="5F5E5A"/>
        </w:rPr>
        <w:t>scoring</w:t>
      </w:r>
      <w:proofErr w:type="spellEnd"/>
      <w:r>
        <w:rPr>
          <w:i/>
          <w:iCs/>
          <w:color w:val="5F5E5A"/>
        </w:rPr>
        <w:t xml:space="preserve"> puis à l’analytique) est détaillé dans le diagramme d’architecture fourni avec les livrables.</w:t>
      </w:r>
    </w:p>
    <w:p w14:paraId="1D2A87E0" w14:textId="77777777" w:rsidR="003A509B" w:rsidRDefault="00000000">
      <w:pPr>
        <w:pStyle w:val="Titre2"/>
      </w:pPr>
      <w:bookmarkStart w:id="8" w:name="_Toc234414991"/>
      <w:r>
        <w:t>Architecture physique (cible)</w:t>
      </w:r>
      <w:bookmarkEnd w:id="8"/>
    </w:p>
    <w:p w14:paraId="03AB65A9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Mapping vers services managés AWS multi-AZ (RDS, MSK, </w:t>
      </w:r>
      <w:proofErr w:type="spellStart"/>
      <w:r>
        <w:t>ElastiCache</w:t>
      </w:r>
      <w:proofErr w:type="spellEnd"/>
      <w:r>
        <w:t xml:space="preserve">, MWAA, </w:t>
      </w:r>
      <w:proofErr w:type="spellStart"/>
      <w:r>
        <w:t>SageMaker</w:t>
      </w:r>
      <w:proofErr w:type="spellEnd"/>
      <w:r>
        <w:t xml:space="preserve">) + MongoDB Atlas + </w:t>
      </w:r>
      <w:proofErr w:type="spellStart"/>
      <w:r>
        <w:t>Snowflake</w:t>
      </w:r>
      <w:proofErr w:type="spellEnd"/>
      <w:r>
        <w:t>.</w:t>
      </w:r>
    </w:p>
    <w:p w14:paraId="6167AA3B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Séparation des comptes/environnements (dev, </w:t>
      </w:r>
      <w:proofErr w:type="spellStart"/>
      <w:r>
        <w:t>staging</w:t>
      </w:r>
      <w:proofErr w:type="spellEnd"/>
      <w:r>
        <w:t xml:space="preserve">, prod) et des réseaux (sous-réseaux privés, </w:t>
      </w:r>
      <w:proofErr w:type="spellStart"/>
      <w:r>
        <w:t>PrivateLink</w:t>
      </w:r>
      <w:proofErr w:type="spellEnd"/>
      <w:r>
        <w:t>).</w:t>
      </w:r>
    </w:p>
    <w:p w14:paraId="60FA8F38" w14:textId="77777777" w:rsidR="003A509B" w:rsidRDefault="00000000">
      <w:pPr>
        <w:pStyle w:val="Titre2"/>
      </w:pPr>
      <w:bookmarkStart w:id="9" w:name="_Toc234414992"/>
      <w:r>
        <w:t>Évolutivité et industrialisation</w:t>
      </w:r>
      <w:bookmarkEnd w:id="9"/>
    </w:p>
    <w:p w14:paraId="075545DE" w14:textId="4F5F1AF1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Évolutive : </w:t>
      </w:r>
      <w:r>
        <w:t xml:space="preserve">découplage par Kafka, </w:t>
      </w:r>
      <w:proofErr w:type="spellStart"/>
      <w:r>
        <w:t>scaling</w:t>
      </w:r>
      <w:proofErr w:type="spellEnd"/>
      <w:r>
        <w:t xml:space="preserve"> horizontal des consommateurs, partitionnement de la table de faits par mois, </w:t>
      </w:r>
      <w:proofErr w:type="spellStart"/>
      <w:r>
        <w:t>sharding</w:t>
      </w:r>
      <w:proofErr w:type="spellEnd"/>
      <w:r>
        <w:t xml:space="preserve"> possible côté NoSQL.</w:t>
      </w:r>
    </w:p>
    <w:p w14:paraId="6D66060D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Industrialisable : </w:t>
      </w:r>
      <w:r>
        <w:t xml:space="preserve">tout est conteneurisé, provisionné par </w:t>
      </w:r>
      <w:proofErr w:type="spellStart"/>
      <w:r>
        <w:t>Terraform</w:t>
      </w:r>
      <w:proofErr w:type="spellEnd"/>
      <w:r>
        <w:t>, et déployé via CI/CD ; le PoC docker-compose et la cible partagent les mêmes images.</w:t>
      </w:r>
    </w:p>
    <w:p w14:paraId="7E030799" w14:textId="77777777" w:rsidR="003A509B" w:rsidRDefault="00000000">
      <w:r>
        <w:br w:type="page"/>
      </w:r>
    </w:p>
    <w:p w14:paraId="5547618E" w14:textId="77777777" w:rsidR="003A509B" w:rsidRDefault="00000000">
      <w:pPr>
        <w:pStyle w:val="Titre1"/>
      </w:pPr>
      <w:bookmarkStart w:id="10" w:name="_Toc234414993"/>
      <w:r>
        <w:lastRenderedPageBreak/>
        <w:t>4. Arbitrer les choix Cloud / On-</w:t>
      </w:r>
      <w:proofErr w:type="spellStart"/>
      <w:r>
        <w:t>Premise</w:t>
      </w:r>
      <w:proofErr w:type="spellEnd"/>
      <w:r>
        <w:t xml:space="preserve"> / Hybride et IaaS / PaaS / </w:t>
      </w:r>
      <w:proofErr w:type="spellStart"/>
      <w:r>
        <w:t>Serverless</w:t>
      </w:r>
      <w:bookmarkEnd w:id="10"/>
      <w:proofErr w:type="spellEnd"/>
    </w:p>
    <w:p w14:paraId="2E7670DC" w14:textId="77777777" w:rsidR="003A509B" w:rsidRDefault="00000000">
      <w:pPr>
        <w:spacing w:after="160" w:line="276" w:lineRule="auto"/>
      </w:pPr>
      <w:r>
        <w:rPr>
          <w:b/>
          <w:bCs/>
          <w:color w:val="534AB7"/>
        </w:rPr>
        <w:t xml:space="preserve">Compétence attendue — </w:t>
      </w:r>
      <w:r>
        <w:rPr>
          <w:i/>
          <w:iCs/>
        </w:rPr>
        <w:t>Arbitrer les choix Cloud / On-</w:t>
      </w:r>
      <w:proofErr w:type="spellStart"/>
      <w:r>
        <w:rPr>
          <w:i/>
          <w:iCs/>
        </w:rPr>
        <w:t>Premise</w:t>
      </w:r>
      <w:proofErr w:type="spellEnd"/>
      <w:r>
        <w:rPr>
          <w:i/>
          <w:iCs/>
        </w:rPr>
        <w:t xml:space="preserve"> / Hybride et IaaS / PaaS / </w:t>
      </w:r>
      <w:proofErr w:type="spellStart"/>
      <w:r>
        <w:rPr>
          <w:i/>
          <w:iCs/>
        </w:rPr>
        <w:t>Serverless</w:t>
      </w:r>
      <w:proofErr w:type="spellEnd"/>
      <w:r>
        <w:rPr>
          <w:i/>
          <w:iCs/>
        </w:rPr>
        <w:t>.</w:t>
      </w:r>
    </w:p>
    <w:p w14:paraId="10D46D75" w14:textId="77777777" w:rsidR="003A509B" w:rsidRDefault="00000000">
      <w:pPr>
        <w:spacing w:after="120" w:line="276" w:lineRule="auto"/>
      </w:pPr>
      <w:r>
        <w:t xml:space="preserve">Le choix retenu est un Cloud-first managé (PaaS dominant), complété de </w:t>
      </w:r>
      <w:proofErr w:type="spellStart"/>
      <w:r>
        <w:t>serverless</w:t>
      </w:r>
      <w:proofErr w:type="spellEnd"/>
      <w:r>
        <w:t xml:space="preserve"> là où la charge est variable. L’arbitrage s’appuie sur des critères explicites : coût total (TCO), conformité (PCI-DSS v4.0, RGPD), élasticité, time-to-</w:t>
      </w:r>
      <w:proofErr w:type="spellStart"/>
      <w:r>
        <w:t>market</w:t>
      </w:r>
      <w:proofErr w:type="spellEnd"/>
      <w:r>
        <w:t xml:space="preserve"> et expertise interne.</w:t>
      </w:r>
    </w:p>
    <w:p w14:paraId="4077EA8F" w14:textId="77777777" w:rsidR="003A509B" w:rsidRDefault="00000000">
      <w:pPr>
        <w:pStyle w:val="Titre2"/>
      </w:pPr>
      <w:bookmarkStart w:id="11" w:name="_Toc234414994"/>
      <w:r>
        <w:t>Matrice de décision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13"/>
        <w:gridCol w:w="3213"/>
      </w:tblGrid>
      <w:tr w:rsidR="003A509B" w14:paraId="12AC76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E4D9C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Option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43575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Avantages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3B6E6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Décision pour Stripe</w:t>
            </w:r>
          </w:p>
        </w:tc>
      </w:tr>
      <w:tr w:rsidR="003A509B" w14:paraId="6DE3E3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9BA6D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On-</w:t>
            </w:r>
            <w:proofErr w:type="spellStart"/>
            <w:r>
              <w:rPr>
                <w:sz w:val="19"/>
                <w:szCs w:val="19"/>
              </w:rPr>
              <w:t>Premise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1F13D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Contrôle total, pas de dépendance fournisseur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0A4ED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Écarté : CAPEX élevé, scalabilité lente, </w:t>
            </w:r>
            <w:proofErr w:type="spellStart"/>
            <w:r>
              <w:rPr>
                <w:sz w:val="19"/>
                <w:szCs w:val="19"/>
              </w:rPr>
              <w:t>ops</w:t>
            </w:r>
            <w:proofErr w:type="spellEnd"/>
            <w:r>
              <w:rPr>
                <w:sz w:val="19"/>
                <w:szCs w:val="19"/>
              </w:rPr>
              <w:t xml:space="preserve"> lourde</w:t>
            </w:r>
          </w:p>
        </w:tc>
      </w:tr>
      <w:tr w:rsidR="003A509B" w14:paraId="72E7E9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EADEA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Cloud public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2C2A5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Élasticité, services managés, certifications PCI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22F92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Retenu comme socle principal</w:t>
            </w:r>
          </w:p>
        </w:tc>
      </w:tr>
      <w:tr w:rsidR="003A509B" w14:paraId="577975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29398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Hybride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50BF5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Résidence de données, transition progressive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87266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Envisagé pour la résidence UE (RGPD) si exigée</w:t>
            </w:r>
          </w:p>
        </w:tc>
      </w:tr>
      <w:tr w:rsidR="003A509B" w14:paraId="0D1F09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F666F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IaaS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9AB23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Flexibilité maximale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70606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Réservé aux cas spécifiques (Flink </w:t>
            </w:r>
            <w:proofErr w:type="spellStart"/>
            <w:r>
              <w:rPr>
                <w:sz w:val="19"/>
                <w:szCs w:val="19"/>
              </w:rPr>
              <w:t>tuné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A509B" w14:paraId="1B3C3A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597B6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PaaS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A0B38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Moins </w:t>
            </w:r>
            <w:proofErr w:type="spellStart"/>
            <w:r>
              <w:rPr>
                <w:sz w:val="19"/>
                <w:szCs w:val="19"/>
              </w:rPr>
              <w:t>d’ops</w:t>
            </w:r>
            <w:proofErr w:type="spellEnd"/>
            <w:r>
              <w:rPr>
                <w:sz w:val="19"/>
                <w:szCs w:val="19"/>
              </w:rPr>
              <w:t>, haute dispo intégrée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D1E9C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Choix dominant (RDS, MSK, Atlas, MWAA)</w:t>
            </w:r>
          </w:p>
        </w:tc>
      </w:tr>
      <w:tr w:rsidR="003A509B" w14:paraId="23637B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D8662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Serverless</w:t>
            </w:r>
            <w:proofErr w:type="spellEnd"/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952CA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Scale-to-</w:t>
            </w:r>
            <w:proofErr w:type="spellStart"/>
            <w:r>
              <w:rPr>
                <w:sz w:val="19"/>
                <w:szCs w:val="19"/>
              </w:rPr>
              <w:t>zero</w:t>
            </w:r>
            <w:proofErr w:type="spellEnd"/>
            <w:r>
              <w:rPr>
                <w:sz w:val="19"/>
                <w:szCs w:val="19"/>
              </w:rPr>
              <w:t>, paiement à l’usage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9EC85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Ingestion, enrichissement (Lambda), orchestration</w:t>
            </w:r>
          </w:p>
        </w:tc>
      </w:tr>
    </w:tbl>
    <w:p w14:paraId="3A8CF2D1" w14:textId="77777777" w:rsidR="003A509B" w:rsidRDefault="00000000">
      <w:pPr>
        <w:spacing w:after="120" w:line="276" w:lineRule="auto"/>
      </w:pPr>
      <w:r>
        <w:rPr>
          <w:b/>
          <w:bCs/>
        </w:rPr>
        <w:t xml:space="preserve">Justification : </w:t>
      </w:r>
      <w:r>
        <w:t xml:space="preserve">le managé réduit la charge opérationnelle et hérite des certifications du fournisseur (un atout fort en environnement PCI). Le </w:t>
      </w:r>
      <w:proofErr w:type="spellStart"/>
      <w:r>
        <w:t>serverless</w:t>
      </w:r>
      <w:proofErr w:type="spellEnd"/>
      <w:r>
        <w:t xml:space="preserve"> absorbe les pics sans surdimensionner. L’hybride reste une option ciblée pour la souveraineté des données.</w:t>
      </w:r>
    </w:p>
    <w:p w14:paraId="4C4C1AA2" w14:textId="77777777" w:rsidR="003A509B" w:rsidRDefault="00000000">
      <w:r>
        <w:br w:type="page"/>
      </w:r>
    </w:p>
    <w:p w14:paraId="1EA6A979" w14:textId="77777777" w:rsidR="003A509B" w:rsidRDefault="00000000">
      <w:pPr>
        <w:pStyle w:val="Titre1"/>
      </w:pPr>
      <w:bookmarkStart w:id="12" w:name="_Toc234414995"/>
      <w:r>
        <w:lastRenderedPageBreak/>
        <w:t>5. Industrialiser via l’Infrastructure as Code (</w:t>
      </w:r>
      <w:proofErr w:type="spellStart"/>
      <w:r>
        <w:t>Terraform</w:t>
      </w:r>
      <w:proofErr w:type="spellEnd"/>
      <w:r>
        <w:t>)</w:t>
      </w:r>
      <w:bookmarkEnd w:id="12"/>
    </w:p>
    <w:p w14:paraId="7AC03AA7" w14:textId="77777777" w:rsidR="003A509B" w:rsidRDefault="00000000">
      <w:pPr>
        <w:spacing w:after="160" w:line="276" w:lineRule="auto"/>
      </w:pPr>
      <w:r>
        <w:rPr>
          <w:b/>
          <w:bCs/>
          <w:color w:val="534AB7"/>
        </w:rPr>
        <w:t xml:space="preserve">Compétence attendue — </w:t>
      </w:r>
      <w:r>
        <w:rPr>
          <w:i/>
          <w:iCs/>
        </w:rPr>
        <w:t>Industrialiser via Infrastructure as Code (</w:t>
      </w:r>
      <w:proofErr w:type="spellStart"/>
      <w:r>
        <w:rPr>
          <w:i/>
          <w:iCs/>
        </w:rPr>
        <w:t>Terraform</w:t>
      </w:r>
      <w:proofErr w:type="spellEnd"/>
      <w:r>
        <w:rPr>
          <w:i/>
          <w:iCs/>
        </w:rPr>
        <w:t>).</w:t>
      </w:r>
    </w:p>
    <w:p w14:paraId="3B97259C" w14:textId="77777777" w:rsidR="003A509B" w:rsidRDefault="00000000">
      <w:pPr>
        <w:spacing w:after="120" w:line="276" w:lineRule="auto"/>
      </w:pPr>
      <w:r>
        <w:t xml:space="preserve">L’infrastructure cible est entièrement décrite en </w:t>
      </w:r>
      <w:proofErr w:type="spellStart"/>
      <w:r>
        <w:t>Terraform</w:t>
      </w:r>
      <w:proofErr w:type="spellEnd"/>
      <w:r>
        <w:t xml:space="preserve"> : aucune ressource n’est créée à la main. Le code est organisé en modules réutilisables, avec un état distant verrouillé et un déploiement piloté par CI/CD.</w:t>
      </w:r>
    </w:p>
    <w:p w14:paraId="308A9EC6" w14:textId="77777777" w:rsidR="003A509B" w:rsidRDefault="00000000">
      <w:pPr>
        <w:pStyle w:val="Titre2"/>
      </w:pPr>
      <w:bookmarkStart w:id="13" w:name="_Toc234414996"/>
      <w:r>
        <w:t>Organisation du code</w:t>
      </w:r>
      <w:bookmarkEnd w:id="13"/>
    </w:p>
    <w:p w14:paraId="50F9E83F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Modules : network (VPC, </w:t>
      </w:r>
      <w:proofErr w:type="spellStart"/>
      <w:r>
        <w:t>subnets</w:t>
      </w:r>
      <w:proofErr w:type="spellEnd"/>
      <w:r>
        <w:t xml:space="preserve">), data (RDS, MSK, </w:t>
      </w:r>
      <w:proofErr w:type="spellStart"/>
      <w:r>
        <w:t>ElastiCache</w:t>
      </w:r>
      <w:proofErr w:type="spellEnd"/>
      <w:r>
        <w:t xml:space="preserve">, </w:t>
      </w:r>
      <w:proofErr w:type="spellStart"/>
      <w:r>
        <w:t>Snowflake</w:t>
      </w:r>
      <w:proofErr w:type="spellEnd"/>
      <w:r>
        <w:t xml:space="preserve">), </w:t>
      </w:r>
      <w:proofErr w:type="spellStart"/>
      <w:r>
        <w:t>nosql</w:t>
      </w:r>
      <w:proofErr w:type="spellEnd"/>
      <w:r>
        <w:t xml:space="preserve"> (Atlas), </w:t>
      </w:r>
      <w:proofErr w:type="spellStart"/>
      <w:r>
        <w:t>compute</w:t>
      </w:r>
      <w:proofErr w:type="spellEnd"/>
      <w:r>
        <w:t xml:space="preserve"> (EKS/Flink), ml (</w:t>
      </w:r>
      <w:proofErr w:type="spellStart"/>
      <w:r>
        <w:t>SageMaker</w:t>
      </w:r>
      <w:proofErr w:type="spellEnd"/>
      <w:r>
        <w:t xml:space="preserve">), </w:t>
      </w:r>
      <w:proofErr w:type="spellStart"/>
      <w:r>
        <w:t>security</w:t>
      </w:r>
      <w:proofErr w:type="spellEnd"/>
      <w:r>
        <w:t xml:space="preserve"> (IAM, KMS, Secrets Manager).</w:t>
      </w:r>
    </w:p>
    <w:p w14:paraId="1E4F9C52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État distant sur S3 + verrou </w:t>
      </w:r>
      <w:proofErr w:type="spellStart"/>
      <w:r>
        <w:t>DynamoDB</w:t>
      </w:r>
      <w:proofErr w:type="spellEnd"/>
      <w:r>
        <w:t xml:space="preserve"> ; un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par environnement (dev/</w:t>
      </w:r>
      <w:proofErr w:type="spellStart"/>
      <w:r>
        <w:t>staging</w:t>
      </w:r>
      <w:proofErr w:type="spellEnd"/>
      <w:r>
        <w:t>/prod).</w:t>
      </w:r>
    </w:p>
    <w:p w14:paraId="6F2CAAB0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CI/CD : </w:t>
      </w:r>
      <w:proofErr w:type="spellStart"/>
      <w:r>
        <w:t>terraform</w:t>
      </w:r>
      <w:proofErr w:type="spellEnd"/>
      <w:r>
        <w:t xml:space="preserve"> plan en pull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apply</w:t>
      </w:r>
      <w:proofErr w:type="spellEnd"/>
      <w:r>
        <w:t xml:space="preserve"> protégé par revue et approbation.</w:t>
      </w:r>
    </w:p>
    <w:p w14:paraId="1F9D04EC" w14:textId="77777777" w:rsidR="003A509B" w:rsidRDefault="00000000">
      <w:pPr>
        <w:pStyle w:val="Titre2"/>
      </w:pPr>
      <w:bookmarkStart w:id="14" w:name="_Toc234414997"/>
      <w:r>
        <w:t>Extrait illustratif</w:t>
      </w:r>
      <w:bookmarkEnd w:id="14"/>
    </w:p>
    <w:p w14:paraId="65D28343" w14:textId="77777777" w:rsidR="003A509B" w:rsidRDefault="00000000">
      <w:pPr>
        <w:pBdr>
          <w:left w:val="single" w:sz="12" w:space="8" w:color="534AB7"/>
        </w:pBdr>
        <w:shd w:val="clear" w:color="auto" w:fill="F4F2EC"/>
        <w:spacing w:before="40" w:after="120"/>
      </w:pPr>
      <w:proofErr w:type="gramStart"/>
      <w:r>
        <w:rPr>
          <w:rFonts w:ascii="Consolas" w:eastAsia="Consolas" w:hAnsi="Consolas" w:cs="Consolas"/>
          <w:sz w:val="17"/>
          <w:szCs w:val="17"/>
        </w:rPr>
        <w:t>module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oltp</w:t>
      </w:r>
      <w:proofErr w:type="spellEnd"/>
      <w:r>
        <w:rPr>
          <w:rFonts w:ascii="Consolas" w:eastAsia="Consolas" w:hAnsi="Consolas" w:cs="Consolas"/>
          <w:sz w:val="17"/>
          <w:szCs w:val="17"/>
        </w:rPr>
        <w:t>" {</w:t>
      </w:r>
      <w:r>
        <w:rPr>
          <w:rFonts w:ascii="Consolas" w:eastAsia="Consolas" w:hAnsi="Consolas" w:cs="Consolas"/>
          <w:sz w:val="17"/>
          <w:szCs w:val="17"/>
        </w:rPr>
        <w:br/>
        <w:t xml:space="preserve">  source              = </w:t>
      </w:r>
      <w:proofErr w:type="gramStart"/>
      <w:r>
        <w:rPr>
          <w:rFonts w:ascii="Consolas" w:eastAsia="Consolas" w:hAnsi="Consolas" w:cs="Consolas"/>
          <w:sz w:val="17"/>
          <w:szCs w:val="17"/>
        </w:rPr>
        <w:t>"./</w:t>
      </w:r>
      <w:proofErr w:type="gramEnd"/>
      <w:r>
        <w:rPr>
          <w:rFonts w:ascii="Consolas" w:eastAsia="Consolas" w:hAnsi="Consolas" w:cs="Consolas"/>
          <w:sz w:val="17"/>
          <w:szCs w:val="17"/>
        </w:rPr>
        <w:t>modules/data/</w:t>
      </w:r>
      <w:proofErr w:type="spellStart"/>
      <w:r>
        <w:rPr>
          <w:rFonts w:ascii="Consolas" w:eastAsia="Consolas" w:hAnsi="Consolas" w:cs="Consolas"/>
          <w:sz w:val="17"/>
          <w:szCs w:val="17"/>
        </w:rPr>
        <w:t>rds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  <w:r>
        <w:rPr>
          <w:rFonts w:ascii="Consolas" w:eastAsia="Consolas" w:hAnsi="Consolas" w:cs="Consolas"/>
          <w:sz w:val="17"/>
          <w:szCs w:val="17"/>
        </w:rPr>
        <w:br/>
        <w:t xml:space="preserve">  engine              = "</w:t>
      </w:r>
      <w:proofErr w:type="spellStart"/>
      <w:r>
        <w:rPr>
          <w:rFonts w:ascii="Consolas" w:eastAsia="Consolas" w:hAnsi="Consolas" w:cs="Consolas"/>
          <w:sz w:val="17"/>
          <w:szCs w:val="17"/>
        </w:rPr>
        <w:t>postgres</w:t>
      </w:r>
      <w:proofErr w:type="spellEnd"/>
      <w:r>
        <w:rPr>
          <w:rFonts w:ascii="Consolas" w:eastAsia="Consolas" w:hAnsi="Consolas" w:cs="Consolas"/>
          <w:sz w:val="17"/>
          <w:szCs w:val="17"/>
        </w:rPr>
        <w:t>"</w:t>
      </w:r>
      <w:r>
        <w:rPr>
          <w:rFonts w:ascii="Consolas" w:eastAsia="Consolas" w:hAnsi="Consolas" w:cs="Consolas"/>
          <w:sz w:val="17"/>
          <w:szCs w:val="17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engine_version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= "16"</w:t>
      </w:r>
      <w:r>
        <w:rPr>
          <w:rFonts w:ascii="Consolas" w:eastAsia="Consolas" w:hAnsi="Consolas" w:cs="Consolas"/>
          <w:sz w:val="17"/>
          <w:szCs w:val="17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instance_class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= "db.r6i.2xlarge"</w:t>
      </w:r>
      <w:r>
        <w:rPr>
          <w:rFonts w:ascii="Consolas" w:eastAsia="Consolas" w:hAnsi="Consolas" w:cs="Consolas"/>
          <w:sz w:val="17"/>
          <w:szCs w:val="17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multi_az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true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storage_type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= "io2"</w:t>
      </w:r>
      <w:r>
        <w:rPr>
          <w:rFonts w:ascii="Consolas" w:eastAsia="Consolas" w:hAnsi="Consolas" w:cs="Consolas"/>
          <w:sz w:val="17"/>
          <w:szCs w:val="17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iops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= 12000</w:t>
      </w:r>
      <w:r>
        <w:rPr>
          <w:rFonts w:ascii="Consolas" w:eastAsia="Consolas" w:hAnsi="Consolas" w:cs="Consolas"/>
          <w:sz w:val="17"/>
          <w:szCs w:val="17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kms_key_arn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module.security.rds_kms_key_arn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backup_retention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= 14</w:t>
      </w:r>
      <w:r>
        <w:rPr>
          <w:rFonts w:ascii="Consolas" w:eastAsia="Consolas" w:hAnsi="Consolas" w:cs="Consolas"/>
          <w:sz w:val="17"/>
          <w:szCs w:val="17"/>
        </w:rPr>
        <w:br/>
        <w:t>}</w:t>
      </w:r>
    </w:p>
    <w:p w14:paraId="58027DA6" w14:textId="77777777" w:rsidR="003A509B" w:rsidRDefault="00000000">
      <w:pPr>
        <w:spacing w:after="120" w:line="276" w:lineRule="auto"/>
      </w:pPr>
      <w:r>
        <w:rPr>
          <w:b/>
          <w:bCs/>
        </w:rPr>
        <w:t xml:space="preserve">Lien avec le PoC : </w:t>
      </w:r>
      <w:r>
        <w:t>le fichier docker-</w:t>
      </w:r>
      <w:proofErr w:type="spellStart"/>
      <w:r>
        <w:t>compose.yml</w:t>
      </w:r>
      <w:proofErr w:type="spellEnd"/>
      <w:r>
        <w:t xml:space="preserve"> joue le rôle d’</w:t>
      </w:r>
      <w:proofErr w:type="spellStart"/>
      <w:r>
        <w:t>IaC</w:t>
      </w:r>
      <w:proofErr w:type="spellEnd"/>
      <w:r>
        <w:t xml:space="preserve"> local — déclaratif et reproductible. </w:t>
      </w:r>
      <w:proofErr w:type="spellStart"/>
      <w:r>
        <w:t>Terraform</w:t>
      </w:r>
      <w:proofErr w:type="spellEnd"/>
      <w:r>
        <w:t xml:space="preserve"> est sa transposition cloud : même philosophie, même reproductibilité, à l’échelle de la production.</w:t>
      </w:r>
    </w:p>
    <w:p w14:paraId="729B411D" w14:textId="77777777" w:rsidR="003A509B" w:rsidRDefault="00000000">
      <w:r>
        <w:br w:type="page"/>
      </w:r>
    </w:p>
    <w:p w14:paraId="491DE062" w14:textId="77777777" w:rsidR="003A509B" w:rsidRDefault="00000000">
      <w:pPr>
        <w:pStyle w:val="Titre1"/>
      </w:pPr>
      <w:bookmarkStart w:id="15" w:name="_Toc234414998"/>
      <w:r>
        <w:lastRenderedPageBreak/>
        <w:t>6. Structurer les environnements (Data Lake, bases vectorielles, conteneurs)</w:t>
      </w:r>
      <w:bookmarkEnd w:id="15"/>
    </w:p>
    <w:p w14:paraId="1A35EA31" w14:textId="77777777" w:rsidR="003A509B" w:rsidRDefault="00000000">
      <w:pPr>
        <w:spacing w:after="160" w:line="276" w:lineRule="auto"/>
      </w:pPr>
      <w:r>
        <w:rPr>
          <w:b/>
          <w:bCs/>
          <w:color w:val="534AB7"/>
        </w:rPr>
        <w:t xml:space="preserve">Compétence attendue — </w:t>
      </w:r>
      <w:r>
        <w:rPr>
          <w:i/>
          <w:iCs/>
        </w:rPr>
        <w:t>Structurer les environnements (Data Lake, bases vectorielles, conteneurs).</w:t>
      </w:r>
    </w:p>
    <w:p w14:paraId="2166246E" w14:textId="77777777" w:rsidR="003A509B" w:rsidRDefault="00000000">
      <w:pPr>
        <w:pStyle w:val="Titre2"/>
      </w:pPr>
      <w:bookmarkStart w:id="16" w:name="_Toc234414999"/>
      <w:r>
        <w:t>Data Lake</w:t>
      </w:r>
      <w:bookmarkEnd w:id="16"/>
    </w:p>
    <w:p w14:paraId="66906680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Organisation en zones sur S3 : </w:t>
      </w:r>
      <w:proofErr w:type="spellStart"/>
      <w:r>
        <w:t>raw</w:t>
      </w:r>
      <w:proofErr w:type="spellEnd"/>
      <w:r>
        <w:t xml:space="preserve"> (bronze) → </w:t>
      </w:r>
      <w:proofErr w:type="spellStart"/>
      <w:r>
        <w:t>cleansed</w:t>
      </w:r>
      <w:proofErr w:type="spellEnd"/>
      <w:r>
        <w:t xml:space="preserve"> (silver) → </w:t>
      </w:r>
      <w:proofErr w:type="spellStart"/>
      <w:r>
        <w:t>curated</w:t>
      </w:r>
      <w:proofErr w:type="spellEnd"/>
      <w:r>
        <w:t xml:space="preserve"> (gold), au format Parquet et tables Iceberg, cataloguées par AWS Glue.</w:t>
      </w:r>
    </w:p>
    <w:p w14:paraId="4CB934D6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Archivage des partitions de faits &gt; 2 ans vers S3/Glacier (compression colonne ~10x).</w:t>
      </w:r>
    </w:p>
    <w:p w14:paraId="782CC4A3" w14:textId="77777777" w:rsidR="003A509B" w:rsidRDefault="00000000">
      <w:pPr>
        <w:pStyle w:val="Titre2"/>
      </w:pPr>
      <w:bookmarkStart w:id="17" w:name="_Toc234415000"/>
      <w:r>
        <w:t>Bases vectorielles</w:t>
      </w:r>
      <w:bookmarkEnd w:id="17"/>
    </w:p>
    <w:p w14:paraId="6880ABAE" w14:textId="77777777" w:rsidR="003A509B" w:rsidRDefault="00000000">
      <w:pPr>
        <w:spacing w:after="120" w:line="276" w:lineRule="auto"/>
      </w:pPr>
      <w:r>
        <w:t xml:space="preserve">Les cas d’usage IA reposent sur des </w:t>
      </w:r>
      <w:proofErr w:type="spellStart"/>
      <w:r>
        <w:t>embeddings</w:t>
      </w:r>
      <w:proofErr w:type="spellEnd"/>
      <w:r>
        <w:t xml:space="preserve"> : similarité de transactions pour la fraude, recherche sémantique sur les feedbacks clients, et RAG sur la base de connaissances support.</w:t>
      </w:r>
    </w:p>
    <w:p w14:paraId="2B4725D4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Stockage vectoriel via </w:t>
      </w:r>
      <w:proofErr w:type="spellStart"/>
      <w:r>
        <w:t>OpenSearch</w:t>
      </w:r>
      <w:proofErr w:type="spellEnd"/>
      <w:r>
        <w:t xml:space="preserve"> k-NN ou </w:t>
      </w:r>
      <w:proofErr w:type="spellStart"/>
      <w:r>
        <w:t>pgvector</w:t>
      </w:r>
      <w:proofErr w:type="spellEnd"/>
      <w:r>
        <w:t xml:space="preserve"> (extension PostgreSQL), avec index HNSW pour la recherche de plus proches voisins.</w:t>
      </w:r>
    </w:p>
    <w:p w14:paraId="6382F3E8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Alimentation depuis le pipeline : les vecteurs de </w:t>
      </w:r>
      <w:proofErr w:type="spellStart"/>
      <w:r>
        <w:t>features</w:t>
      </w:r>
      <w:proofErr w:type="spellEnd"/>
      <w:r>
        <w:t xml:space="preserve"> sont calculés en streaming (Flink) puis indexés.</w:t>
      </w:r>
    </w:p>
    <w:p w14:paraId="31D3E678" w14:textId="77777777" w:rsidR="003A509B" w:rsidRDefault="00000000">
      <w:pPr>
        <w:pStyle w:val="Titre2"/>
      </w:pPr>
      <w:bookmarkStart w:id="18" w:name="_Toc234415001"/>
      <w:r>
        <w:t>Conteneurs</w:t>
      </w:r>
      <w:bookmarkEnd w:id="18"/>
    </w:p>
    <w:p w14:paraId="293D659B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Images Docker versionnées, stockées sur ECR ; orchestration </w:t>
      </w:r>
      <w:proofErr w:type="spellStart"/>
      <w:r>
        <w:t>Kubernetes</w:t>
      </w:r>
      <w:proofErr w:type="spellEnd"/>
      <w:r>
        <w:t xml:space="preserve"> (EKS) avec Helm en cible.</w:t>
      </w:r>
    </w:p>
    <w:p w14:paraId="336FC73F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Environnements dev / </w:t>
      </w:r>
      <w:proofErr w:type="spellStart"/>
      <w:r>
        <w:t>staging</w:t>
      </w:r>
      <w:proofErr w:type="spellEnd"/>
      <w:r>
        <w:t xml:space="preserve"> / prod isolés (réseau, secrets, données).</w:t>
      </w:r>
    </w:p>
    <w:p w14:paraId="623B90DB" w14:textId="2913AFEF" w:rsidR="003A509B" w:rsidRDefault="00000000">
      <w:pPr>
        <w:spacing w:after="120" w:line="276" w:lineRule="auto"/>
      </w:pPr>
      <w:r>
        <w:rPr>
          <w:b/>
          <w:bCs/>
        </w:rPr>
        <w:t xml:space="preserve">Lien avec le PoC : </w:t>
      </w:r>
      <w:r>
        <w:t xml:space="preserve">tous les services tournent déjà en conteneurs localement ; la structuration en zones et l’indexation vectorielle </w:t>
      </w:r>
      <w:proofErr w:type="gramStart"/>
      <w:r w:rsidR="00565D6C">
        <w:t>constituent</w:t>
      </w:r>
      <w:proofErr w:type="gramEnd"/>
      <w:r>
        <w:t xml:space="preserve"> l’extension naturelle vers la cible.</w:t>
      </w:r>
    </w:p>
    <w:p w14:paraId="2230FAA7" w14:textId="77777777" w:rsidR="003A509B" w:rsidRDefault="00000000">
      <w:r>
        <w:br w:type="page"/>
      </w:r>
    </w:p>
    <w:p w14:paraId="4C0C8B05" w14:textId="77777777" w:rsidR="003A509B" w:rsidRDefault="00000000">
      <w:pPr>
        <w:pStyle w:val="Titre1"/>
      </w:pPr>
      <w:bookmarkStart w:id="19" w:name="_Toc234415002"/>
      <w:r>
        <w:lastRenderedPageBreak/>
        <w:t>7. Garantir la résilience et la haute disponibilité</w:t>
      </w:r>
      <w:bookmarkEnd w:id="19"/>
    </w:p>
    <w:p w14:paraId="183E1B0E" w14:textId="77777777" w:rsidR="003A509B" w:rsidRDefault="00000000">
      <w:pPr>
        <w:spacing w:after="160" w:line="276" w:lineRule="auto"/>
      </w:pPr>
      <w:r>
        <w:rPr>
          <w:b/>
          <w:bCs/>
          <w:color w:val="534AB7"/>
        </w:rPr>
        <w:t xml:space="preserve">Compétence attendue — </w:t>
      </w:r>
      <w:r>
        <w:rPr>
          <w:i/>
          <w:iCs/>
        </w:rPr>
        <w:t>Garantir la résilience et la haute disponibilité (scalabilité, failover).</w:t>
      </w:r>
    </w:p>
    <w:p w14:paraId="21A0B291" w14:textId="77777777" w:rsidR="003A509B" w:rsidRDefault="00000000">
      <w:pPr>
        <w:pStyle w:val="Titre2"/>
      </w:pPr>
      <w:bookmarkStart w:id="20" w:name="_Toc234415003"/>
      <w:r>
        <w:t>Mécanismes par composant (cible)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A509B" w14:paraId="640CF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F2D48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Composant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8FD5E" w14:textId="77777777" w:rsidR="003A509B" w:rsidRDefault="00000000">
            <w:pPr>
              <w:spacing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Résilience / haute disponibilité</w:t>
            </w:r>
          </w:p>
        </w:tc>
      </w:tr>
      <w:tr w:rsidR="003A509B" w14:paraId="0CE012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C859E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ED578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Multi-AZ, réplication synchrone, failover automatique (&lt; 30 s), </w:t>
            </w:r>
            <w:proofErr w:type="spellStart"/>
            <w:r>
              <w:rPr>
                <w:sz w:val="19"/>
                <w:szCs w:val="19"/>
              </w:rPr>
              <w:t>read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replicas</w:t>
            </w:r>
            <w:proofErr w:type="spellEnd"/>
            <w:r>
              <w:rPr>
                <w:sz w:val="19"/>
                <w:szCs w:val="19"/>
              </w:rPr>
              <w:t>, PITR</w:t>
            </w:r>
          </w:p>
        </w:tc>
      </w:tr>
      <w:tr w:rsidR="003A509B" w14:paraId="2A1442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70FD1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Kafka (MSK)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6854A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Facteur de réplication 3, </w:t>
            </w:r>
            <w:proofErr w:type="spellStart"/>
            <w:proofErr w:type="gramStart"/>
            <w:r>
              <w:rPr>
                <w:sz w:val="19"/>
                <w:szCs w:val="19"/>
              </w:rPr>
              <w:t>min.insync</w:t>
            </w:r>
            <w:proofErr w:type="gramEnd"/>
            <w:r>
              <w:rPr>
                <w:sz w:val="19"/>
                <w:szCs w:val="19"/>
              </w:rPr>
              <w:t>.replicas</w:t>
            </w:r>
            <w:proofErr w:type="spellEnd"/>
            <w:r>
              <w:rPr>
                <w:sz w:val="19"/>
                <w:szCs w:val="19"/>
              </w:rPr>
              <w:t xml:space="preserve"> = 2, brokers multi-AZ</w:t>
            </w:r>
          </w:p>
        </w:tc>
      </w:tr>
      <w:tr w:rsidR="003A509B" w14:paraId="04DEBF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545F0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Flink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8F07C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Checkpoints/</w:t>
            </w:r>
            <w:proofErr w:type="spellStart"/>
            <w:r>
              <w:rPr>
                <w:sz w:val="19"/>
                <w:szCs w:val="19"/>
              </w:rPr>
              <w:t>savepoints</w:t>
            </w:r>
            <w:proofErr w:type="spellEnd"/>
            <w:r>
              <w:rPr>
                <w:sz w:val="19"/>
                <w:szCs w:val="19"/>
              </w:rPr>
              <w:t xml:space="preserve">, sémantique </w:t>
            </w:r>
            <w:proofErr w:type="spellStart"/>
            <w:r>
              <w:rPr>
                <w:sz w:val="19"/>
                <w:szCs w:val="19"/>
              </w:rPr>
              <w:t>exactly</w:t>
            </w:r>
            <w:proofErr w:type="spellEnd"/>
            <w:r>
              <w:rPr>
                <w:sz w:val="19"/>
                <w:szCs w:val="19"/>
              </w:rPr>
              <w:t>-once, reprise sur incident, DLQ</w:t>
            </w:r>
          </w:p>
        </w:tc>
      </w:tr>
      <w:tr w:rsidR="003A509B" w14:paraId="72CE6F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C0457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MongoDB Atlas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F74BF" w14:textId="77777777" w:rsidR="003A509B" w:rsidRDefault="00000000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Replica</w:t>
            </w:r>
            <w:proofErr w:type="spellEnd"/>
            <w:r>
              <w:rPr>
                <w:sz w:val="19"/>
                <w:szCs w:val="19"/>
              </w:rPr>
              <w:t xml:space="preserve"> set multi-AZ, élection automatique du primaire</w:t>
            </w:r>
          </w:p>
        </w:tc>
      </w:tr>
      <w:tr w:rsidR="003A509B" w14:paraId="720282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91AA1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Redis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F801C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Mode cluster + répliques, basculement géré</w:t>
            </w:r>
          </w:p>
        </w:tc>
      </w:tr>
      <w:tr w:rsidR="003A509B" w14:paraId="64BBF4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6B1D5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Global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118A9" w14:textId="77777777" w:rsidR="003A509B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Sauvegardes chiffrées, DR cross-région (RPO/RTO cibles), clé d’idempotence anti-duplication</w:t>
            </w:r>
          </w:p>
        </w:tc>
      </w:tr>
    </w:tbl>
    <w:p w14:paraId="19AEC571" w14:textId="77777777" w:rsidR="003A509B" w:rsidRDefault="00000000">
      <w:pPr>
        <w:pStyle w:val="Titre2"/>
      </w:pPr>
      <w:bookmarkStart w:id="21" w:name="_Toc234415004"/>
      <w:r>
        <w:t>Scalabilité</w:t>
      </w:r>
      <w:bookmarkEnd w:id="21"/>
    </w:p>
    <w:p w14:paraId="60D94821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Horizontale : ajout de consommateurs Kafka et de </w:t>
      </w:r>
      <w:proofErr w:type="spellStart"/>
      <w:r>
        <w:t>task</w:t>
      </w:r>
      <w:proofErr w:type="spellEnd"/>
      <w:r>
        <w:t xml:space="preserve"> managers Flink ; partitionnement et </w:t>
      </w:r>
      <w:proofErr w:type="spellStart"/>
      <w:r>
        <w:t>sharding</w:t>
      </w:r>
      <w:proofErr w:type="spellEnd"/>
      <w:r>
        <w:t xml:space="preserve"> côté stockage.</w:t>
      </w:r>
    </w:p>
    <w:p w14:paraId="0AB11027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Tests de robustesse : injection de pannes (chaos </w:t>
      </w:r>
      <w:proofErr w:type="spellStart"/>
      <w:r>
        <w:t>testing</w:t>
      </w:r>
      <w:proofErr w:type="spellEnd"/>
      <w:r>
        <w:t>) et rejeu via la Dead Letter Queue.</w:t>
      </w:r>
    </w:p>
    <w:p w14:paraId="45C56CCD" w14:textId="77777777" w:rsidR="003A509B" w:rsidRDefault="00000000">
      <w:pPr>
        <w:spacing w:after="120" w:line="276" w:lineRule="auto"/>
      </w:pPr>
      <w:r>
        <w:rPr>
          <w:b/>
          <w:bCs/>
        </w:rPr>
        <w:t xml:space="preserve">Démontré au PoC : </w:t>
      </w:r>
      <w:r>
        <w:t>la clé d’idempotence sur les transactions, la DLQ et l’arrêt gracieux des producteurs/consommateurs sont déjà implémentés localement.</w:t>
      </w:r>
    </w:p>
    <w:p w14:paraId="41EBDCFF" w14:textId="77777777" w:rsidR="003A509B" w:rsidRDefault="00000000">
      <w:r>
        <w:br w:type="page"/>
      </w:r>
    </w:p>
    <w:p w14:paraId="108A0B64" w14:textId="77777777" w:rsidR="003A509B" w:rsidRDefault="00000000">
      <w:pPr>
        <w:pStyle w:val="Titre1"/>
      </w:pPr>
      <w:bookmarkStart w:id="22" w:name="_Toc234415005"/>
      <w:r>
        <w:lastRenderedPageBreak/>
        <w:t>8. Mettre en place la sécurité</w:t>
      </w:r>
      <w:bookmarkEnd w:id="22"/>
    </w:p>
    <w:p w14:paraId="1AE3AC42" w14:textId="77777777" w:rsidR="003A509B" w:rsidRDefault="00000000">
      <w:pPr>
        <w:spacing w:after="160" w:line="276" w:lineRule="auto"/>
      </w:pPr>
      <w:r>
        <w:rPr>
          <w:b/>
          <w:bCs/>
          <w:color w:val="534AB7"/>
        </w:rPr>
        <w:t xml:space="preserve">Compétence attendue — </w:t>
      </w:r>
      <w:r>
        <w:rPr>
          <w:i/>
          <w:iCs/>
        </w:rPr>
        <w:t>Mettre en place la sécurité (IAM, chiffrement, gestion des secrets).</w:t>
      </w:r>
    </w:p>
    <w:p w14:paraId="2B542AE8" w14:textId="77777777" w:rsidR="003A509B" w:rsidRDefault="00000000">
      <w:pPr>
        <w:pStyle w:val="Titre2"/>
      </w:pPr>
      <w:bookmarkStart w:id="23" w:name="_Toc234415006"/>
      <w:r>
        <w:t>IAM et contrôle d’accès</w:t>
      </w:r>
      <w:bookmarkEnd w:id="23"/>
    </w:p>
    <w:p w14:paraId="56FED255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Principe du moindre privilège : un rôle par service, RBAC PostgreSQL et MongoDB, SSO et fédération d’identité en cible.</w:t>
      </w:r>
    </w:p>
    <w:p w14:paraId="08D7EEBC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Le service ML est le seul à écrire dans </w:t>
      </w:r>
      <w:proofErr w:type="spellStart"/>
      <w:r>
        <w:t>fraud_indicators</w:t>
      </w:r>
      <w:proofErr w:type="spellEnd"/>
      <w:r>
        <w:t xml:space="preserve"> ; le service de paiement n’y a pas accès.</w:t>
      </w:r>
    </w:p>
    <w:p w14:paraId="5EEE4C55" w14:textId="77777777" w:rsidR="003A509B" w:rsidRDefault="00000000">
      <w:pPr>
        <w:pStyle w:val="Titre2"/>
      </w:pPr>
      <w:bookmarkStart w:id="24" w:name="_Toc234415007"/>
      <w:r>
        <w:t>Chiffrement</w:t>
      </w:r>
      <w:bookmarkEnd w:id="24"/>
    </w:p>
    <w:p w14:paraId="76F32EE5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Au repos : AWS KMS pour RDS, S3, EBS et MongoDB Atlas. En transit : TLS 1.3 sur toutes les liaisons.</w:t>
      </w:r>
    </w:p>
    <w:p w14:paraId="6A5AF51C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Conformité PCI-DSS v4.0 : aucun PAN stocké, seul un </w:t>
      </w:r>
      <w:proofErr w:type="spellStart"/>
      <w:r>
        <w:t>fingerprint</w:t>
      </w:r>
      <w:proofErr w:type="spellEnd"/>
      <w:r>
        <w:t xml:space="preserve"> </w:t>
      </w:r>
      <w:proofErr w:type="spellStart"/>
      <w:r>
        <w:t>tokenisé</w:t>
      </w:r>
      <w:proofErr w:type="spellEnd"/>
      <w:r>
        <w:t xml:space="preserve"> est conservé ; chiffrement applicatif des PII via </w:t>
      </w:r>
      <w:proofErr w:type="spellStart"/>
      <w:r>
        <w:t>pgcrypto</w:t>
      </w:r>
      <w:proofErr w:type="spellEnd"/>
      <w:r>
        <w:t>.</w:t>
      </w:r>
    </w:p>
    <w:p w14:paraId="3E7A1EFE" w14:textId="77777777" w:rsidR="003A509B" w:rsidRDefault="00000000">
      <w:pPr>
        <w:pStyle w:val="Titre2"/>
      </w:pPr>
      <w:bookmarkStart w:id="25" w:name="_Toc234415008"/>
      <w:r>
        <w:t>Gestion des secrets</w:t>
      </w:r>
      <w:bookmarkEnd w:id="25"/>
    </w:p>
    <w:p w14:paraId="6E03DEB9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Cible : AWS Secrets Manager (ou </w:t>
      </w:r>
      <w:proofErr w:type="spellStart"/>
      <w:r>
        <w:t>HashiCorp</w:t>
      </w:r>
      <w:proofErr w:type="spellEnd"/>
      <w:r>
        <w:t xml:space="preserve"> Vault) avec rotation automatique.</w:t>
      </w:r>
    </w:p>
    <w:p w14:paraId="258440FE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PoC :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généré localement, jamais versionné (présent </w:t>
      </w:r>
      <w:proofErr w:type="gramStart"/>
      <w:r>
        <w:t>dans .</w:t>
      </w:r>
      <w:proofErr w:type="spellStart"/>
      <w:r>
        <w:t>gitignore</w:t>
      </w:r>
      <w:proofErr w:type="spellEnd"/>
      <w:proofErr w:type="gramEnd"/>
      <w:r>
        <w:t>) — aucun secret en clair dans le dépôt.</w:t>
      </w:r>
    </w:p>
    <w:p w14:paraId="5DBE0565" w14:textId="77777777" w:rsidR="003A509B" w:rsidRDefault="00000000">
      <w:pPr>
        <w:pStyle w:val="Titre2"/>
      </w:pPr>
      <w:bookmarkStart w:id="26" w:name="_Toc234415009"/>
      <w:r>
        <w:t>Audit et conformité</w:t>
      </w:r>
      <w:bookmarkEnd w:id="26"/>
    </w:p>
    <w:p w14:paraId="5DE1EB93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Journalisation des accès aux données de paiement vers un SIEM (rétention 12 mois), </w:t>
      </w:r>
      <w:proofErr w:type="spellStart"/>
      <w:r>
        <w:t>CloudTrail</w:t>
      </w:r>
      <w:proofErr w:type="spellEnd"/>
      <w:r>
        <w:t>, supervision des anomalies.</w:t>
      </w:r>
    </w:p>
    <w:p w14:paraId="3F175838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RGPD : pseudonymisation (hash SHA-256), droit à l’effacement par anonymisation sans casser les clés étrangères, TTL sur les logs.</w:t>
      </w:r>
    </w:p>
    <w:p w14:paraId="7DA032CF" w14:textId="77777777" w:rsidR="003A509B" w:rsidRDefault="00000000">
      <w:r>
        <w:br w:type="page"/>
      </w:r>
    </w:p>
    <w:p w14:paraId="05CA2092" w14:textId="77777777" w:rsidR="003A509B" w:rsidRDefault="00000000">
      <w:pPr>
        <w:pStyle w:val="Titre1"/>
      </w:pPr>
      <w:bookmarkStart w:id="27" w:name="_Toc234415010"/>
      <w:r>
        <w:lastRenderedPageBreak/>
        <w:t>9. Piloter l’efficience (</w:t>
      </w:r>
      <w:proofErr w:type="spellStart"/>
      <w:r>
        <w:t>FinOps</w:t>
      </w:r>
      <w:proofErr w:type="spellEnd"/>
      <w:r>
        <w:t xml:space="preserve"> / </w:t>
      </w:r>
      <w:proofErr w:type="spellStart"/>
      <w:r>
        <w:t>GreenOps</w:t>
      </w:r>
      <w:proofErr w:type="spellEnd"/>
      <w:r>
        <w:t>)</w:t>
      </w:r>
      <w:bookmarkEnd w:id="27"/>
    </w:p>
    <w:p w14:paraId="36502DC6" w14:textId="77777777" w:rsidR="003A509B" w:rsidRDefault="00000000">
      <w:pPr>
        <w:spacing w:after="160" w:line="276" w:lineRule="auto"/>
      </w:pPr>
      <w:r>
        <w:rPr>
          <w:b/>
          <w:bCs/>
          <w:color w:val="534AB7"/>
        </w:rPr>
        <w:t xml:space="preserve">Compétence attendue — </w:t>
      </w:r>
      <w:r>
        <w:rPr>
          <w:i/>
          <w:iCs/>
        </w:rPr>
        <w:t>Piloter l’efficience (</w:t>
      </w:r>
      <w:proofErr w:type="spellStart"/>
      <w:r>
        <w:rPr>
          <w:i/>
          <w:iCs/>
        </w:rPr>
        <w:t>FinOps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GreenOps</w:t>
      </w:r>
      <w:proofErr w:type="spellEnd"/>
      <w:r>
        <w:rPr>
          <w:i/>
          <w:iCs/>
        </w:rPr>
        <w:t>).</w:t>
      </w:r>
    </w:p>
    <w:p w14:paraId="3CF8C944" w14:textId="77777777" w:rsidR="003A509B" w:rsidRDefault="00000000">
      <w:pPr>
        <w:pStyle w:val="Titre2"/>
      </w:pPr>
      <w:bookmarkStart w:id="28" w:name="_Toc234415011"/>
      <w:proofErr w:type="spellStart"/>
      <w:r>
        <w:t>FinOps</w:t>
      </w:r>
      <w:bookmarkEnd w:id="28"/>
      <w:proofErr w:type="spellEnd"/>
    </w:p>
    <w:p w14:paraId="2F4E025B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Étiquetage (tags) systématique des ressources, budgets et alertes de dépassement, suivi du coût par transaction.</w:t>
      </w:r>
    </w:p>
    <w:p w14:paraId="5EBD2FEE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Right-</w:t>
      </w:r>
      <w:proofErr w:type="spellStart"/>
      <w:r>
        <w:t>sizing</w:t>
      </w:r>
      <w:proofErr w:type="spellEnd"/>
      <w:r>
        <w:t xml:space="preserve"> et </w:t>
      </w:r>
      <w:proofErr w:type="spellStart"/>
      <w:r>
        <w:t>autoscaling</w:t>
      </w:r>
      <w:proofErr w:type="spellEnd"/>
      <w:r>
        <w:t xml:space="preserve"> ; instances Spot pour l’entraînement et le batch ; </w:t>
      </w:r>
      <w:proofErr w:type="spellStart"/>
      <w:r>
        <w:t>Savings</w:t>
      </w:r>
      <w:proofErr w:type="spellEnd"/>
      <w:r>
        <w:t xml:space="preserve"> Plans/réservations pour la charge de base.</w:t>
      </w:r>
    </w:p>
    <w:p w14:paraId="1AE49342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proofErr w:type="spellStart"/>
      <w:r>
        <w:t>Tiering</w:t>
      </w:r>
      <w:proofErr w:type="spellEnd"/>
      <w:r>
        <w:t xml:space="preserve"> du stockage (S3 Standard → IA → Glacier) et extinction des environnements hors-production la nuit.</w:t>
      </w:r>
    </w:p>
    <w:p w14:paraId="4DF1FDA1" w14:textId="77777777" w:rsidR="003A509B" w:rsidRDefault="00000000">
      <w:pPr>
        <w:pStyle w:val="Titre2"/>
      </w:pPr>
      <w:bookmarkStart w:id="29" w:name="_Toc234415012"/>
      <w:proofErr w:type="spellStart"/>
      <w:r>
        <w:t>GreenOps</w:t>
      </w:r>
      <w:bookmarkEnd w:id="29"/>
      <w:proofErr w:type="spellEnd"/>
    </w:p>
    <w:p w14:paraId="579BDB3C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Choix de régions à faible intensité carbone ; </w:t>
      </w:r>
      <w:proofErr w:type="spellStart"/>
      <w:r>
        <w:t>scale</w:t>
      </w:r>
      <w:proofErr w:type="spellEnd"/>
      <w:r>
        <w:t>-to-</w:t>
      </w:r>
      <w:proofErr w:type="spellStart"/>
      <w:r>
        <w:t>zero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; mutualisation des </w:t>
      </w:r>
      <w:proofErr w:type="spellStart"/>
      <w:r>
        <w:t>warehouses</w:t>
      </w:r>
      <w:proofErr w:type="spellEnd"/>
      <w:r>
        <w:t>.</w:t>
      </w:r>
    </w:p>
    <w:p w14:paraId="11366D28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Optimisation des modèles (</w:t>
      </w:r>
      <w:proofErr w:type="spellStart"/>
      <w:r>
        <w:t>quantization</w:t>
      </w:r>
      <w:proofErr w:type="spellEnd"/>
      <w:r>
        <w:t>, inférence par lots) et recours au cache Redis pour éviter le recalcul.</w:t>
      </w:r>
    </w:p>
    <w:p w14:paraId="700661A2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Mesure de l’empreinte via les outils d’empreinte carbone du fournisseur cloud.</w:t>
      </w:r>
    </w:p>
    <w:p w14:paraId="3FDC7658" w14:textId="77777777" w:rsidR="003A509B" w:rsidRDefault="00000000">
      <w:pPr>
        <w:spacing w:after="120" w:line="276" w:lineRule="auto"/>
      </w:pPr>
      <w:r>
        <w:rPr>
          <w:b/>
          <w:bCs/>
        </w:rPr>
        <w:t xml:space="preserve">Atout du PoC : </w:t>
      </w:r>
      <w:r>
        <w:t>réaliser la démonstration sur une seule machine est en soi une démarche d’efficience — coût quasi nul et empreinte minimale pour prouver l’architecture avant tout engagement d’infrastructure.</w:t>
      </w:r>
    </w:p>
    <w:p w14:paraId="07B4D66E" w14:textId="77777777" w:rsidR="003A509B" w:rsidRDefault="00000000">
      <w:r>
        <w:br w:type="page"/>
      </w:r>
    </w:p>
    <w:p w14:paraId="3F92DFE0" w14:textId="77777777" w:rsidR="003A509B" w:rsidRDefault="00000000">
      <w:pPr>
        <w:pStyle w:val="Titre1"/>
      </w:pPr>
      <w:bookmarkStart w:id="30" w:name="_Toc234415013"/>
      <w:r>
        <w:lastRenderedPageBreak/>
        <w:t>10. Documenter et coordonner les équipes techniques</w:t>
      </w:r>
      <w:bookmarkEnd w:id="30"/>
    </w:p>
    <w:p w14:paraId="00A36AC6" w14:textId="77777777" w:rsidR="003A509B" w:rsidRDefault="00000000">
      <w:pPr>
        <w:spacing w:after="160" w:line="276" w:lineRule="auto"/>
      </w:pPr>
      <w:r>
        <w:rPr>
          <w:b/>
          <w:bCs/>
          <w:color w:val="534AB7"/>
        </w:rPr>
        <w:t xml:space="preserve">Compétence attendue — </w:t>
      </w:r>
      <w:r>
        <w:rPr>
          <w:i/>
          <w:iCs/>
        </w:rPr>
        <w:t>Documenter et coordonner les équipes techniques.</w:t>
      </w:r>
    </w:p>
    <w:p w14:paraId="1843CB9B" w14:textId="77777777" w:rsidR="003A509B" w:rsidRDefault="00000000">
      <w:pPr>
        <w:pStyle w:val="Titre2"/>
      </w:pPr>
      <w:bookmarkStart w:id="31" w:name="_Toc234415014"/>
      <w:r>
        <w:t>Documentation produite</w:t>
      </w:r>
      <w:bookmarkEnd w:id="31"/>
    </w:p>
    <w:p w14:paraId="7BE6AA16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README, IMPLEMENTATION.md, REFERENCE_TECHNIQUE.md, script de présentation, diagrammes </w:t>
      </w:r>
      <w:proofErr w:type="spellStart"/>
      <w:r>
        <w:t>drawio</w:t>
      </w:r>
      <w:proofErr w:type="spellEnd"/>
      <w:r>
        <w:t>/PNG (architecture, ERD OLTP, schéma OLAP).</w:t>
      </w:r>
    </w:p>
    <w:p w14:paraId="5B17FCD9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>Requêtes SQL et NoSQL commentées par cas d’usage métier ; décisions d’architecture justifiées (ADR).</w:t>
      </w:r>
    </w:p>
    <w:p w14:paraId="424BF3D0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proofErr w:type="spellStart"/>
      <w:r>
        <w:t>Runbooks</w:t>
      </w:r>
      <w:proofErr w:type="spellEnd"/>
      <w:r>
        <w:t xml:space="preserve"> d’exploitation et démo reproductible (</w:t>
      </w:r>
      <w:proofErr w:type="spellStart"/>
      <w:r>
        <w:t>Makefile</w:t>
      </w:r>
      <w:proofErr w:type="spellEnd"/>
      <w:r>
        <w:t>, demo.sh).</w:t>
      </w:r>
    </w:p>
    <w:p w14:paraId="76D54A60" w14:textId="77777777" w:rsidR="003A509B" w:rsidRDefault="00000000">
      <w:pPr>
        <w:pStyle w:val="Titre2"/>
      </w:pPr>
      <w:bookmarkStart w:id="32" w:name="_Toc234415015"/>
      <w:r>
        <w:t>Coordination des équipes</w:t>
      </w:r>
      <w:bookmarkEnd w:id="32"/>
    </w:p>
    <w:p w14:paraId="6F934094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Rôles identifiés : data </w:t>
      </w:r>
      <w:proofErr w:type="spellStart"/>
      <w:r>
        <w:t>engineer</w:t>
      </w:r>
      <w:proofErr w:type="spellEnd"/>
      <w:r>
        <w:t xml:space="preserve">, ML </w:t>
      </w:r>
      <w:proofErr w:type="spellStart"/>
      <w:r>
        <w:t>engineer</w:t>
      </w:r>
      <w:proofErr w:type="spellEnd"/>
      <w:r>
        <w:t>, SRE, sécurité/DPO, et leurs périmètres d’accès (RBAC).</w:t>
      </w:r>
    </w:p>
    <w:p w14:paraId="7F2169C5" w14:textId="77777777" w:rsidR="003A509B" w:rsidRDefault="00000000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Workflow Git avec revue de code (pull </w:t>
      </w:r>
      <w:proofErr w:type="spellStart"/>
      <w:r>
        <w:t>requests</w:t>
      </w:r>
      <w:proofErr w:type="spellEnd"/>
      <w:r>
        <w:t>), CI/CD, conventions de nommage et guide d’</w:t>
      </w:r>
      <w:proofErr w:type="spellStart"/>
      <w:r>
        <w:t>onboarding</w:t>
      </w:r>
      <w:proofErr w:type="spellEnd"/>
      <w:r>
        <w:t>.</w:t>
      </w:r>
    </w:p>
    <w:p w14:paraId="3FE39C15" w14:textId="77777777" w:rsidR="003A509B" w:rsidRDefault="00000000">
      <w:pPr>
        <w:spacing w:after="120" w:line="276" w:lineRule="auto"/>
      </w:pPr>
      <w:r>
        <w:rPr>
          <w:b/>
          <w:bCs/>
        </w:rPr>
        <w:t xml:space="preserve">Justification : </w:t>
      </w:r>
      <w:r>
        <w:t>le projet est livré avec une documentation complète et une démonstration exécutable en une commande, ce qui matérialise la capacité à transmettre et coordonner le travail technique.</w:t>
      </w:r>
    </w:p>
    <w:p w14:paraId="19E7B2AA" w14:textId="77777777" w:rsidR="003A509B" w:rsidRDefault="00000000">
      <w:r>
        <w:br w:type="page"/>
      </w:r>
    </w:p>
    <w:p w14:paraId="68BDDFD9" w14:textId="77777777" w:rsidR="003A509B" w:rsidRDefault="00000000">
      <w:pPr>
        <w:pStyle w:val="Titre1"/>
      </w:pPr>
      <w:bookmarkStart w:id="33" w:name="_Toc234415016"/>
      <w:r>
        <w:lastRenderedPageBreak/>
        <w:t>11. Conclusion</w:t>
      </w:r>
      <w:bookmarkEnd w:id="33"/>
    </w:p>
    <w:p w14:paraId="57417B98" w14:textId="77777777" w:rsidR="003A509B" w:rsidRDefault="00000000">
      <w:pPr>
        <w:spacing w:after="120" w:line="276" w:lineRule="auto"/>
      </w:pPr>
      <w:r>
        <w:t xml:space="preserve">Le projet Stripe couvre l’ensemble des neuf compétences du Bloc 2. Le PoC local prouve, à coût maîtrisé, que la chaîne complète — transaction, capture de changement, </w:t>
      </w:r>
      <w:proofErr w:type="spellStart"/>
      <w:r>
        <w:t>scoring</w:t>
      </w:r>
      <w:proofErr w:type="spellEnd"/>
      <w:r>
        <w:t xml:space="preserve"> temps réel, persistance et restitution — fonctionne réellement. L’architecture cible, décrite comme une conception industrialisée, met en avant toutes les solutions proposées : services managés multi-AZ, Infrastructure as Code </w:t>
      </w:r>
      <w:proofErr w:type="spellStart"/>
      <w:r>
        <w:t>Terraform</w:t>
      </w:r>
      <w:proofErr w:type="spellEnd"/>
      <w:r>
        <w:t xml:space="preserve">, Data Lake et bases vectorielles, résilience et failover, sécurité PCI-DSS/RGPD, et pilotage </w:t>
      </w:r>
      <w:proofErr w:type="spellStart"/>
      <w:r>
        <w:t>FinOps</w:t>
      </w:r>
      <w:proofErr w:type="spellEnd"/>
      <w:r>
        <w:t>/</w:t>
      </w:r>
      <w:proofErr w:type="spellStart"/>
      <w:r>
        <w:t>GreenOps</w:t>
      </w:r>
      <w:proofErr w:type="spellEnd"/>
      <w:r>
        <w:t>.</w:t>
      </w:r>
    </w:p>
    <w:p w14:paraId="062F686A" w14:textId="77777777" w:rsidR="003A509B" w:rsidRDefault="00000000">
      <w:pPr>
        <w:spacing w:after="120" w:line="276" w:lineRule="auto"/>
      </w:pPr>
      <w:r>
        <w:rPr>
          <w:i/>
          <w:iCs/>
          <w:color w:val="5F5E5A"/>
        </w:rPr>
        <w:t>Le passage du PoC à la production ne change pas la logique d’architecture : il substitue des composants locaux par leurs équivalents managés, déployés par code. C’est précisément ce qui rend la solution évolutive et industrialisable.</w:t>
      </w:r>
    </w:p>
    <w:sectPr w:rsidR="003A50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01DA2A" w14:textId="77777777" w:rsidR="00960514" w:rsidRDefault="00960514">
      <w:r>
        <w:separator/>
      </w:r>
    </w:p>
  </w:endnote>
  <w:endnote w:type="continuationSeparator" w:id="0">
    <w:p w14:paraId="57D58F30" w14:textId="77777777" w:rsidR="00960514" w:rsidRDefault="00960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999B06" w14:textId="77777777" w:rsidR="00565D6C" w:rsidRDefault="00565D6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B32396" w14:textId="77777777" w:rsidR="003A509B" w:rsidRDefault="00000000">
    <w:pPr>
      <w:jc w:val="center"/>
    </w:pPr>
    <w:r>
      <w:rPr>
        <w:color w:val="5F5E5A"/>
        <w:sz w:val="16"/>
        <w:szCs w:val="16"/>
      </w:rPr>
      <w:t xml:space="preserve">Patrice Duclos — AIA RNCP41993     ·     Page </w:t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>
      <w:rPr>
        <w:color w:val="5F5E5A"/>
        <w:sz w:val="16"/>
        <w:szCs w:val="16"/>
      </w:rPr>
      <w:fldChar w:fldCharType="separate"/>
    </w:r>
    <w:r w:rsidR="00565D6C">
      <w:rPr>
        <w:noProof/>
        <w:color w:val="5F5E5A"/>
        <w:sz w:val="16"/>
        <w:szCs w:val="16"/>
      </w:rPr>
      <w:t>15</w:t>
    </w:r>
    <w:r>
      <w:rPr>
        <w:color w:val="5F5E5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DF37E" w14:textId="77777777" w:rsidR="00565D6C" w:rsidRDefault="00565D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82C6C4" w14:textId="77777777" w:rsidR="00960514" w:rsidRDefault="00960514">
      <w:r>
        <w:separator/>
      </w:r>
    </w:p>
  </w:footnote>
  <w:footnote w:type="continuationSeparator" w:id="0">
    <w:p w14:paraId="38E6FE04" w14:textId="77777777" w:rsidR="00960514" w:rsidRDefault="009605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607638" w14:textId="77777777" w:rsidR="00565D6C" w:rsidRDefault="00565D6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215CFC" w14:textId="77777777" w:rsidR="003A509B" w:rsidRDefault="00000000">
    <w:pPr>
      <w:pBdr>
        <w:bottom w:val="single" w:sz="4" w:space="4" w:color="CCCCCC"/>
      </w:pBdr>
      <w:jc w:val="right"/>
    </w:pPr>
    <w:r>
      <w:rPr>
        <w:color w:val="5F5E5A"/>
        <w:sz w:val="16"/>
        <w:szCs w:val="16"/>
      </w:rPr>
      <w:t>Stripe — Bloc 2 · Infrastructure Data &amp; 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4EAA41" w14:textId="77777777" w:rsidR="00565D6C" w:rsidRDefault="00565D6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D5407B"/>
    <w:multiLevelType w:val="hybridMultilevel"/>
    <w:tmpl w:val="D94A9D6E"/>
    <w:lvl w:ilvl="0" w:tplc="10A84EC6">
      <w:start w:val="1"/>
      <w:numFmt w:val="bullet"/>
      <w:lvlText w:val="●"/>
      <w:lvlJc w:val="left"/>
      <w:pPr>
        <w:ind w:left="720" w:hanging="360"/>
      </w:pPr>
    </w:lvl>
    <w:lvl w:ilvl="1" w:tplc="96E08188">
      <w:start w:val="1"/>
      <w:numFmt w:val="bullet"/>
      <w:lvlText w:val="○"/>
      <w:lvlJc w:val="left"/>
      <w:pPr>
        <w:ind w:left="1440" w:hanging="360"/>
      </w:pPr>
    </w:lvl>
    <w:lvl w:ilvl="2" w:tplc="A89285FC">
      <w:start w:val="1"/>
      <w:numFmt w:val="bullet"/>
      <w:lvlText w:val="■"/>
      <w:lvlJc w:val="left"/>
      <w:pPr>
        <w:ind w:left="2160" w:hanging="360"/>
      </w:pPr>
    </w:lvl>
    <w:lvl w:ilvl="3" w:tplc="98A0C6B0">
      <w:start w:val="1"/>
      <w:numFmt w:val="bullet"/>
      <w:lvlText w:val="●"/>
      <w:lvlJc w:val="left"/>
      <w:pPr>
        <w:ind w:left="2880" w:hanging="360"/>
      </w:pPr>
    </w:lvl>
    <w:lvl w:ilvl="4" w:tplc="C39A84AA">
      <w:start w:val="1"/>
      <w:numFmt w:val="bullet"/>
      <w:lvlText w:val="○"/>
      <w:lvlJc w:val="left"/>
      <w:pPr>
        <w:ind w:left="3600" w:hanging="360"/>
      </w:pPr>
    </w:lvl>
    <w:lvl w:ilvl="5" w:tplc="EABCE8E4">
      <w:start w:val="1"/>
      <w:numFmt w:val="bullet"/>
      <w:lvlText w:val="■"/>
      <w:lvlJc w:val="left"/>
      <w:pPr>
        <w:ind w:left="4320" w:hanging="360"/>
      </w:pPr>
    </w:lvl>
    <w:lvl w:ilvl="6" w:tplc="148CA7C4">
      <w:start w:val="1"/>
      <w:numFmt w:val="bullet"/>
      <w:lvlText w:val="●"/>
      <w:lvlJc w:val="left"/>
      <w:pPr>
        <w:ind w:left="5040" w:hanging="360"/>
      </w:pPr>
    </w:lvl>
    <w:lvl w:ilvl="7" w:tplc="BDB669D0">
      <w:start w:val="1"/>
      <w:numFmt w:val="bullet"/>
      <w:lvlText w:val="●"/>
      <w:lvlJc w:val="left"/>
      <w:pPr>
        <w:ind w:left="5760" w:hanging="360"/>
      </w:pPr>
    </w:lvl>
    <w:lvl w:ilvl="8" w:tplc="E7EE26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C23376"/>
    <w:multiLevelType w:val="hybridMultilevel"/>
    <w:tmpl w:val="06680D62"/>
    <w:lvl w:ilvl="0" w:tplc="AD008874">
      <w:start w:val="1"/>
      <w:numFmt w:val="bullet"/>
      <w:lvlText w:val="•"/>
      <w:lvlJc w:val="left"/>
      <w:pPr>
        <w:ind w:left="460" w:hanging="260"/>
      </w:pPr>
    </w:lvl>
    <w:lvl w:ilvl="1" w:tplc="45646E96">
      <w:start w:val="1"/>
      <w:numFmt w:val="bullet"/>
      <w:lvlText w:val="–"/>
      <w:lvlJc w:val="left"/>
      <w:pPr>
        <w:ind w:left="920" w:hanging="260"/>
      </w:pPr>
    </w:lvl>
    <w:lvl w:ilvl="2" w:tplc="DEC81DB2">
      <w:numFmt w:val="decimal"/>
      <w:lvlText w:val=""/>
      <w:lvlJc w:val="left"/>
    </w:lvl>
    <w:lvl w:ilvl="3" w:tplc="7E144C9A">
      <w:numFmt w:val="decimal"/>
      <w:lvlText w:val=""/>
      <w:lvlJc w:val="left"/>
    </w:lvl>
    <w:lvl w:ilvl="4" w:tplc="FD3EBB74">
      <w:numFmt w:val="decimal"/>
      <w:lvlText w:val=""/>
      <w:lvlJc w:val="left"/>
    </w:lvl>
    <w:lvl w:ilvl="5" w:tplc="EA5AFC64">
      <w:numFmt w:val="decimal"/>
      <w:lvlText w:val=""/>
      <w:lvlJc w:val="left"/>
    </w:lvl>
    <w:lvl w:ilvl="6" w:tplc="46A6C9A2">
      <w:numFmt w:val="decimal"/>
      <w:lvlText w:val=""/>
      <w:lvlJc w:val="left"/>
    </w:lvl>
    <w:lvl w:ilvl="7" w:tplc="D6728972">
      <w:numFmt w:val="decimal"/>
      <w:lvlText w:val=""/>
      <w:lvlJc w:val="left"/>
    </w:lvl>
    <w:lvl w:ilvl="8" w:tplc="47CCDBCC">
      <w:numFmt w:val="decimal"/>
      <w:lvlText w:val=""/>
      <w:lvlJc w:val="left"/>
    </w:lvl>
  </w:abstractNum>
  <w:num w:numId="1" w16cid:durableId="1368792756">
    <w:abstractNumId w:val="0"/>
    <w:lvlOverride w:ilvl="0">
      <w:startOverride w:val="1"/>
    </w:lvlOverride>
  </w:num>
  <w:num w:numId="2" w16cid:durableId="1101322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09B"/>
    <w:rsid w:val="0016423D"/>
    <w:rsid w:val="003A509B"/>
    <w:rsid w:val="00565D6C"/>
    <w:rsid w:val="00791B75"/>
    <w:rsid w:val="0096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0EA51B"/>
  <w15:docId w15:val="{2FF675B6-8B93-C843-8C27-B891086D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60"/>
      <w:outlineLvl w:val="0"/>
    </w:pPr>
    <w:rPr>
      <w:b/>
      <w:bCs/>
      <w:color w:val="1F3A5F"/>
      <w:sz w:val="30"/>
      <w:szCs w:val="30"/>
    </w:rPr>
  </w:style>
  <w:style w:type="paragraph" w:styleId="Titre2">
    <w:name w:val="heading 2"/>
    <w:uiPriority w:val="9"/>
    <w:unhideWhenUsed/>
    <w:qFormat/>
    <w:pPr>
      <w:spacing w:before="180" w:after="100"/>
      <w:outlineLvl w:val="1"/>
    </w:pPr>
    <w:rPr>
      <w:b/>
      <w:bCs/>
      <w:color w:val="534AB7"/>
      <w:sz w:val="25"/>
      <w:szCs w:val="2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65D6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65D6C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/>
    <w:rsid w:val="00565D6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65D6C"/>
  </w:style>
  <w:style w:type="paragraph" w:styleId="Pieddepage">
    <w:name w:val="footer"/>
    <w:basedOn w:val="Normal"/>
    <w:link w:val="PieddepageCar"/>
    <w:uiPriority w:val="99"/>
    <w:unhideWhenUsed/>
    <w:rsid w:val="00565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65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1C369B-E10D-4849-921F-9892AAFB9351}">
  <we:reference id="wa200010453" version="1.0.0.1" store="fr-FR" storeType="OMEX"/>
  <we:alternateReferences>
    <we:reference id="wa200010453" version="1.0.0.1" store="wa200010453" storeType="OMEX"/>
  </we:alternateReferences>
  <we:properties>
    <we:property name="claude.fileId" value="&quot;874c44f5-c10d-4f03-9412-8f2d0c710c7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2586</Words>
  <Characters>15469</Characters>
  <Application>Microsoft Office Word</Application>
  <DocSecurity>0</DocSecurity>
  <Lines>468</Lines>
  <Paragraphs>328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Patrice DUCLOS</dc:creator>
  <cp:lastModifiedBy>Patrice DUCLOS</cp:lastModifiedBy>
  <cp:revision>2</cp:revision>
  <dcterms:created xsi:type="dcterms:W3CDTF">2026-06-17T14:22:00Z</dcterms:created>
  <dcterms:modified xsi:type="dcterms:W3CDTF">2026-07-08T13:08:00Z</dcterms:modified>
</cp:coreProperties>
</file>