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jc w:val="center"/>
      </w:pPr>
      <w:r>
        <w:rPr>
          <w:b/>
          <w:bCs/>
          <w:color w:val="6C63FF"/>
          <w:sz w:val="72"/>
          <w:szCs w:val="72"/>
        </w:rPr>
        <w:t xml:space="preserve">STRIPE</w:t>
      </w:r>
    </w:p>
    <w:p>
      <w:pPr>
        <w:spacing w:before="200"/>
        <w:jc w:val="center"/>
      </w:pPr>
      <w:r>
        <w:rPr>
          <w:b/>
          <w:bCs/>
          <w:color w:val="1A1F36"/>
          <w:sz w:val="36"/>
          <w:szCs w:val="36"/>
        </w:rPr>
        <w:t xml:space="preserve">Infrastructure de Données et de Calcul pour l’IA</w:t>
      </w:r>
    </w:p>
    <w:p>
      <w:pPr>
        <w:spacing w:before="120"/>
        <w:jc w:val="center"/>
      </w:pPr>
      <w:r>
        <w:rPr>
          <w:color w:val="6C63FF"/>
          <w:sz w:val="24"/>
          <w:szCs w:val="24"/>
        </w:rPr>
        <w:t xml:space="preserve">Couverture des compétences du Bloc 2</w:t>
      </w:r>
    </w:p>
    <w:p>
      <w:pPr>
        <w:spacing w:after="900" w:before="160"/>
        <w:jc w:val="center"/>
      </w:pPr>
      <w:r>
        <w:rPr>
          <w:i/>
          <w:iCs/>
          <w:color w:val="5F6B7A"/>
          <w:sz w:val="19"/>
          <w:szCs w:val="19"/>
        </w:rPr>
        <w:t xml:space="preserve">Spécifications · Architecture · Cloud · IaC · Environnements · Résilience · Sécurité · FinOps · Coordination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7"/>
        <w:gridCol w:w="6319"/>
      </w:tblGrid>
      <w:tr>
        <w:trPr>
          <w:tblHeader/>
        </w:trPr>
        <w:tc>
          <w:tcPr>
            <w:tcW w:type="dxa" w:w="270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Champ</w:t>
            </w:r>
          </w:p>
        </w:tc>
        <w:tc>
          <w:tcPr>
            <w:tcW w:type="dxa" w:w="6319"/>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Valeur</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Candidat</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Patrice Duclos</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Certification</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Architecte en intelligence artificielle — RNCP41993 — Bloc 2</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Intitulé du bloc</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Concevoir et déployer l’infrastructure de données et de calcul pour l’IA</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Contexte</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Stripe — FinTech — Business Case</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Livrables</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PoC fonctionnel local, code de déploiement sur GitHub (Docker Compose + Terraform), diagrammes, vidéo</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Date</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Octobre 2026</w:t>
            </w:r>
          </w:p>
        </w:tc>
      </w:tr>
    </w:tbl>
    <w:p>
      <w:pPr>
        <w:spacing w:after="120"/>
      </w:pPr>
    </w:p>
    <w:p>
      <w:pPr>
        <w:pageBreakBefore/>
        <w:spacing w:after="240"/>
      </w:pPr>
      <w:r>
        <w:rPr>
          <w:b/>
          <w:bCs/>
          <w:color w:val="6C63FF"/>
          <w:sz w:val="32"/>
          <w:szCs w:val="32"/>
        </w:rPr>
        <w:t xml:space="preserve">Sommaire</w:t>
      </w:r>
    </w:p>
    <w:p>
      <w:pPr>
        <w:pBdr>
          <w:bottom w:val="dotted" w:color="D5D8E3" w:sz="4" w:space="2"/>
        </w:pBdr>
        <w:spacing w:after="90"/>
      </w:pPr>
      <w:r>
        <w:rPr>
          <w:sz w:val="22"/>
          <w:szCs w:val="22"/>
        </w:rPr>
        <w:t xml:space="preserve">Préambule — trois niveaux de preuve</w:t>
      </w:r>
    </w:p>
    <w:p>
      <w:pPr>
        <w:pBdr>
          <w:bottom w:val="dotted" w:color="D5D8E3" w:sz="4" w:space="2"/>
        </w:pBdr>
        <w:spacing w:after="90"/>
      </w:pPr>
      <w:r>
        <w:rPr>
          <w:sz w:val="22"/>
          <w:szCs w:val="22"/>
        </w:rPr>
        <w:t xml:space="preserve">1. Synthèse : du PoC local à la cible industrialisée</w:t>
      </w:r>
    </w:p>
    <w:p>
      <w:pPr>
        <w:pBdr>
          <w:bottom w:val="dotted" w:color="D5D8E3" w:sz="4" w:space="2"/>
        </w:pBdr>
        <w:spacing w:after="90"/>
      </w:pPr>
      <w:r>
        <w:rPr>
          <w:sz w:val="22"/>
          <w:szCs w:val="22"/>
        </w:rPr>
        <w:t xml:space="preserve">2. Définir les spécifications techniques d’infrastructure</w:t>
      </w:r>
    </w:p>
    <w:p>
      <w:pPr>
        <w:pBdr>
          <w:bottom w:val="dotted" w:color="D5D8E3" w:sz="4" w:space="2"/>
        </w:pBdr>
        <w:spacing w:after="90"/>
      </w:pPr>
      <w:r>
        <w:rPr>
          <w:sz w:val="22"/>
          <w:szCs w:val="22"/>
        </w:rPr>
        <w:t xml:space="preserve">3. Concevoir une architecture Data &amp; IA évolutive et industrialisable</w:t>
      </w:r>
    </w:p>
    <w:p>
      <w:pPr>
        <w:pBdr>
          <w:bottom w:val="dotted" w:color="D5D8E3" w:sz="4" w:space="2"/>
        </w:pBdr>
        <w:spacing w:after="90"/>
      </w:pPr>
      <w:r>
        <w:rPr>
          <w:sz w:val="22"/>
          <w:szCs w:val="22"/>
        </w:rPr>
        <w:t xml:space="preserve">4. Arbitrer Cloud / On-Premise / Hybride et IaaS / PaaS / Serverless</w:t>
      </w:r>
    </w:p>
    <w:p>
      <w:pPr>
        <w:pBdr>
          <w:bottom w:val="dotted" w:color="D5D8E3" w:sz="4" w:space="2"/>
        </w:pBdr>
        <w:spacing w:after="90"/>
      </w:pPr>
      <w:r>
        <w:rPr>
          <w:sz w:val="22"/>
          <w:szCs w:val="22"/>
        </w:rPr>
        <w:t xml:space="preserve">5. Industrialiser via l’Infrastructure as Code (Terraform)</w:t>
      </w:r>
    </w:p>
    <w:p>
      <w:pPr>
        <w:pBdr>
          <w:bottom w:val="dotted" w:color="D5D8E3" w:sz="4" w:space="2"/>
        </w:pBdr>
        <w:spacing w:after="90"/>
      </w:pPr>
      <w:r>
        <w:rPr>
          <w:sz w:val="22"/>
          <w:szCs w:val="22"/>
        </w:rPr>
        <w:t xml:space="preserve">6. Structurer les environnements (Data Lake, bases vectorielles, conteneurs)</w:t>
      </w:r>
    </w:p>
    <w:p>
      <w:pPr>
        <w:pBdr>
          <w:bottom w:val="dotted" w:color="D5D8E3" w:sz="4" w:space="2"/>
        </w:pBdr>
        <w:spacing w:after="90"/>
      </w:pPr>
      <w:r>
        <w:rPr>
          <w:sz w:val="22"/>
          <w:szCs w:val="22"/>
        </w:rPr>
        <w:t xml:space="preserve">7. Garantir la résilience et la haute disponibilité</w:t>
      </w:r>
    </w:p>
    <w:p>
      <w:pPr>
        <w:pBdr>
          <w:bottom w:val="dotted" w:color="D5D8E3" w:sz="4" w:space="2"/>
        </w:pBdr>
        <w:spacing w:after="90"/>
      </w:pPr>
      <w:r>
        <w:rPr>
          <w:sz w:val="22"/>
          <w:szCs w:val="22"/>
        </w:rPr>
        <w:t xml:space="preserve">8. Mettre en place la sécurité</w:t>
      </w:r>
    </w:p>
    <w:p>
      <w:pPr>
        <w:pBdr>
          <w:bottom w:val="dotted" w:color="D5D8E3" w:sz="4" w:space="2"/>
        </w:pBdr>
        <w:spacing w:after="90"/>
      </w:pPr>
      <w:r>
        <w:rPr>
          <w:sz w:val="22"/>
          <w:szCs w:val="22"/>
        </w:rPr>
        <w:t xml:space="preserve">9. Piloter l’efficience (FinOps / GreenOps)</w:t>
      </w:r>
    </w:p>
    <w:p>
      <w:pPr>
        <w:pBdr>
          <w:bottom w:val="dotted" w:color="D5D8E3" w:sz="4" w:space="2"/>
        </w:pBdr>
        <w:spacing w:after="90"/>
      </w:pPr>
      <w:r>
        <w:rPr>
          <w:sz w:val="22"/>
          <w:szCs w:val="22"/>
        </w:rPr>
        <w:t xml:space="preserve">10. Documenter et coordonner les équipes techniques</w:t>
      </w:r>
    </w:p>
    <w:p>
      <w:pPr>
        <w:pBdr>
          <w:bottom w:val="dotted" w:color="D5D8E3" w:sz="4" w:space="2"/>
        </w:pBdr>
        <w:spacing w:after="90"/>
      </w:pPr>
      <w:r>
        <w:rPr>
          <w:sz w:val="22"/>
          <w:szCs w:val="22"/>
        </w:rPr>
        <w:t xml:space="preserve">11. Conclusion</w:t>
      </w:r>
    </w:p>
    <w:p>
      <w:pPr>
        <w:pStyle w:val="Heading1"/>
        <w:pageBreakBefore/>
      </w:pPr>
      <w:r>
        <w:t xml:space="preserve">Préambule — trois niveaux de preuve</w:t>
      </w:r>
    </w:p>
    <w:p>
      <w:pPr>
        <w:spacing w:after="140" w:line="288"/>
      </w:pPr>
      <w:r>
        <w:t xml:space="preserve">Ce document met en regard les neuf compétences du bloc 2 et le projet Stripe. Pour chaque compétence, il indique la </w:t>
      </w:r>
      <w:r>
        <w:rPr>
          <w:b/>
          <w:bCs/>
        </w:rPr>
        <w:t xml:space="preserve">preuve</w:t>
      </w:r>
      <w:r>
        <w:t xml:space="preserve"> dans le dépôt </w:t>
      </w:r>
      <w:r>
        <w:rPr>
          <w:rFonts w:ascii="Consolas" w:cs="Consolas" w:eastAsia="Consolas" w:hAnsi="Consolas"/>
          <w:color w:val="3B3F8F"/>
          <w:sz w:val="19"/>
          <w:szCs w:val="19"/>
        </w:rPr>
        <w:t xml:space="preserve">github.com/PDUCLOS/BLOC2-STRIPE</w:t>
      </w:r>
      <w:r>
        <w:t xml:space="preserve">, et le niveau de cette preuve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3971"/>
        <w:gridCol w:w="3611"/>
      </w:tblGrid>
      <w:tr>
        <w:trPr>
          <w:tblHeader/>
        </w:trPr>
        <w:tc>
          <w:tcPr>
            <w:tcW w:type="dxa" w:w="1444"/>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Niveau</w:t>
            </w:r>
          </w:p>
        </w:tc>
        <w:tc>
          <w:tcPr>
            <w:tcW w:type="dxa" w:w="3971"/>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Signification</w:t>
            </w:r>
          </w:p>
        </w:tc>
        <w:tc>
          <w:tcPr>
            <w:tcW w:type="dxa" w:w="3611"/>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Exemples</w:t>
            </w:r>
          </w:p>
        </w:tc>
      </w:tr>
      <w:tr>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Tourne sur la stack Docker et est vérifié automatiquement en CI</w:t>
            </w:r>
          </w:p>
        </w:tc>
        <w:tc>
          <w:tcPr>
            <w:tcW w:type="dxa" w:w="361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Pipeline CDC, scoring XGBoost, write-back, MongoDB, Airflow, MLflow, Evidently, requêtes</w:t>
            </w:r>
          </w:p>
        </w:tc>
      </w:tr>
      <w:tr>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Codé et validé</w:t>
            </w:r>
          </w:p>
        </w:tc>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Présent dans le dépôt, vérifié par un outil, jamais déployé</w:t>
            </w:r>
          </w:p>
        </w:tc>
        <w:tc>
          <w:tcPr>
            <w:tcW w:type="dxa" w:w="361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Terraform de la cible AWS</w:t>
            </w:r>
          </w:p>
        </w:tc>
      </w:tr>
      <w:tr>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Conçu</w:t>
            </w:r>
          </w:p>
        </w:tc>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Décrit et justifié, sans code exécutable</w:t>
            </w:r>
          </w:p>
        </w:tc>
        <w:tc>
          <w:tcPr>
            <w:tcW w:type="dxa" w:w="361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Bases vectorielles, reprise après sinistre inter-régions</w:t>
            </w:r>
          </w:p>
        </w:tc>
      </w:tr>
    </w:tbl>
    <w:p>
      <w:pPr>
        <w:spacing w:after="120"/>
      </w:pPr>
    </w:p>
    <w:p>
      <w:pPr>
        <w:spacing w:after="140" w:line="288"/>
      </w:pPr>
      <w:r>
        <w:t xml:space="preserve">Le PoC a été réalisé sur un poste personnel pour une raison de budget. La cible industrialisée reprend la même architecture logique : seuls les composants changent.</w:t>
      </w:r>
    </w:p>
    <w:p>
      <w:pPr>
        <w:pStyle w:val="Heading1"/>
        <w:pageBreakBefore/>
      </w:pPr>
      <w:r>
        <w:t xml:space="preserve">1. Synthèse : du PoC local à la cible industrialisée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4"/>
        <w:gridCol w:w="3700"/>
        <w:gridCol w:w="3702"/>
      </w:tblGrid>
      <w:tr>
        <w:trPr>
          <w:tblHeader/>
        </w:trPr>
        <w:tc>
          <w:tcPr>
            <w:tcW w:type="dxa" w:w="1624"/>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Couche</w:t>
            </w:r>
          </w:p>
        </w:tc>
        <w:tc>
          <w:tcPr>
            <w:tcW w:type="dxa" w:w="370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PoC local (Docker Compose) — exécuté</w:t>
            </w:r>
          </w:p>
        </w:tc>
        <w:tc>
          <w:tcPr>
            <w:tcW w:type="dxa" w:w="3702"/>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Cible AWS — codée dans terraform/</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OLTP</w:t>
            </w:r>
          </w:p>
        </w:tc>
        <w:tc>
          <w:tcPr>
            <w:tcW w:type="dxa" w:w="370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PostgreSQL 16</w:t>
            </w:r>
          </w:p>
        </w:tc>
        <w:tc>
          <w:tcPr>
            <w:tcW w:type="dxa" w:w="370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RDS PostgreSQL 16 Multi-AZ + réplica de lecture</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CDC / streaming</w:t>
            </w:r>
          </w:p>
        </w:tc>
        <w:tc>
          <w:tcPr>
            <w:tcW w:type="dxa" w:w="370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Debezium 2.6 + Kafka KRaft (1 broker)</w:t>
            </w:r>
          </w:p>
        </w:tc>
        <w:tc>
          <w:tcPr>
            <w:tcW w:type="dxa" w:w="370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MSK 3 brokers sur 3 AZ (Debezium sur MSK Connect : conçu)</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Traitement du flux</w:t>
            </w:r>
          </w:p>
        </w:tc>
        <w:tc>
          <w:tcPr>
            <w:tcW w:type="dxa" w:w="370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Job Python « Flink-like » (PyFlink équivalent dans </w:t>
            </w:r>
            <w:r>
              <w:rPr>
                <w:rFonts w:ascii="Consolas" w:cs="Consolas" w:eastAsia="Consolas" w:hAnsi="Consolas"/>
                <w:color w:val="3B3F8F"/>
                <w:sz w:val="16"/>
                <w:szCs w:val="16"/>
              </w:rPr>
              <w:t xml:space="preserve">flink/</w:t>
            </w:r>
            <w:r>
              <w:rPr>
                <w:sz w:val="18"/>
                <w:szCs w:val="18"/>
              </w:rPr>
              <w:t xml:space="preserve">)</w:t>
            </w:r>
          </w:p>
        </w:tc>
        <w:tc>
          <w:tcPr>
            <w:tcW w:type="dxa" w:w="370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ECS Fargate ; Managed Flink quand le débit le justifie</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Feature store online</w:t>
            </w:r>
          </w:p>
        </w:tc>
        <w:tc>
          <w:tcPr>
            <w:tcW w:type="dxa" w:w="370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Redis 7</w:t>
            </w:r>
          </w:p>
        </w:tc>
        <w:tc>
          <w:tcPr>
            <w:tcW w:type="dxa" w:w="370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ElastiCache Redis 7 Multi-AZ</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NoSQL</w:t>
            </w:r>
          </w:p>
        </w:tc>
        <w:tc>
          <w:tcPr>
            <w:tcW w:type="dxa" w:w="370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MongoDB 7</w:t>
            </w:r>
          </w:p>
        </w:tc>
        <w:tc>
          <w:tcPr>
            <w:tcW w:type="dxa" w:w="370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MongoDB Atlas via PrivateLink</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OLAP</w:t>
            </w:r>
          </w:p>
        </w:tc>
        <w:tc>
          <w:tcPr>
            <w:tcW w:type="dxa" w:w="370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Schéma Snowflake prêt, chargement en dry-run</w:t>
            </w:r>
          </w:p>
        </w:tc>
        <w:tc>
          <w:tcPr>
            <w:tcW w:type="dxa" w:w="370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Snowflake (hors Terraform, compte payant à ouvrir)</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Orchestration batch</w:t>
            </w:r>
          </w:p>
        </w:tc>
        <w:tc>
          <w:tcPr>
            <w:tcW w:type="dxa" w:w="370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Airflow 2.9, DAG quotidien</w:t>
            </w:r>
          </w:p>
        </w:tc>
        <w:tc>
          <w:tcPr>
            <w:tcW w:type="dxa" w:w="370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Amazon MWAA</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ML</w:t>
            </w:r>
          </w:p>
        </w:tc>
        <w:tc>
          <w:tcPr>
            <w:tcW w:type="dxa" w:w="370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XGBoost + repli sur règles, MLflow, Evidently, réentraînement automatique</w:t>
            </w:r>
          </w:p>
        </w:tc>
        <w:tc>
          <w:tcPr>
            <w:tcW w:type="dxa" w:w="370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Même image sur ECS ; artefacts sur S3</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Restitution</w:t>
            </w:r>
          </w:p>
        </w:tc>
        <w:tc>
          <w:tcPr>
            <w:tcW w:type="dxa" w:w="370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Dashboard Streamlit protégé par login</w:t>
            </w:r>
          </w:p>
        </w:tc>
        <w:tc>
          <w:tcPr>
            <w:tcW w:type="dxa" w:w="370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Service ECS privé</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Provisioning</w:t>
            </w:r>
          </w:p>
        </w:tc>
        <w:tc>
          <w:tcPr>
            <w:tcW w:type="dxa" w:w="370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docker-compose.yml</w:t>
            </w:r>
            <w:r>
              <w:rPr>
                <w:sz w:val="18"/>
                <w:szCs w:val="18"/>
              </w:rPr>
              <w:t xml:space="preserve">, Makefile</w:t>
            </w:r>
          </w:p>
        </w:tc>
        <w:tc>
          <w:tcPr>
            <w:tcW w:type="dxa" w:w="370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Terraform : 10 modules, environnements dev et prod</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CI/CD</w:t>
            </w:r>
          </w:p>
        </w:tc>
        <w:tc>
          <w:tcPr>
            <w:tcW w:type="dxa" w:w="370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GitHub Actions : lint, e2e sur stack complète, terraform validate</w:t>
            </w:r>
          </w:p>
        </w:tc>
        <w:tc>
          <w:tcPr>
            <w:tcW w:type="dxa" w:w="370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Idem + plan/apply via fédération OIDC (conçu)</w:t>
            </w:r>
          </w:p>
        </w:tc>
      </w:tr>
    </w:tbl>
    <w:p>
      <w:pPr>
        <w:spacing w:after="120"/>
      </w:pPr>
    </w:p>
    <w:p>
      <w:pPr>
        <w:pStyle w:val="Heading1"/>
        <w:pageBreakBefore/>
      </w:pPr>
      <w:r>
        <w:t xml:space="preserve">2. Définir les spécifications techniques d’infrastructure</w:t>
      </w:r>
    </w:p>
    <w:p>
      <w:pPr>
        <w:pBdr>
          <w:left w:val="single" w:color="6C63FF" w:sz="24" w:space="8"/>
        </w:pBdr>
        <w:shd w:fill="EEF0FF" w:val="clear"/>
        <w:spacing w:after="180" w:before="120" w:line="276"/>
        <w:ind w:left="160" w:right="120"/>
      </w:pPr>
      <w:r>
        <w:rPr>
          <w:b/>
          <w:bCs/>
          <w:sz w:val="20"/>
          <w:szCs w:val="20"/>
        </w:rPr>
        <w:t xml:space="preserve">Compétence C1</w:t>
      </w:r>
      <w:r>
        <w:rPr>
          <w:sz w:val="20"/>
          <w:szCs w:val="20"/>
        </w:rPr>
        <w:t xml:space="preserve"> — définir les spécifications techniques (calcul, stockage, réseau) adaptées aux usages.</w:t>
      </w:r>
    </w:p>
    <w:p>
      <w:pPr>
        <w:spacing w:after="140" w:line="288"/>
      </w:pPr>
      <w:r>
        <w:t xml:space="preserve">Les charges sont très différentes : l’OLTP est sensible à la latence et à la concurrence, Kafka au débit disque et réseau, le feature store à la mémoire, l’inférence au CPU. Le dimensionnement de production ci-dessous est celui codé dans </w:t>
      </w:r>
      <w:r>
        <w:rPr>
          <w:rFonts w:ascii="Consolas" w:cs="Consolas" w:eastAsia="Consolas" w:hAnsi="Consolas"/>
          <w:color w:val="3B3F8F"/>
          <w:sz w:val="19"/>
          <w:szCs w:val="19"/>
        </w:rPr>
        <w:t xml:space="preserve">terraform/envs/prod/main.tf</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2707"/>
        <w:gridCol w:w="2527"/>
        <w:gridCol w:w="1987"/>
      </w:tblGrid>
      <w:tr>
        <w:trPr>
          <w:tblHeader/>
        </w:trPr>
        <w:tc>
          <w:tcPr>
            <w:tcW w:type="dxa" w:w="180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Usage</w:t>
            </w:r>
          </w:p>
        </w:tc>
        <w:tc>
          <w:tcPr>
            <w:tcW w:type="dxa" w:w="270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Calcul</w:t>
            </w:r>
          </w:p>
        </w:tc>
        <w:tc>
          <w:tcPr>
            <w:tcW w:type="dxa" w:w="252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Stockage</w:t>
            </w:r>
          </w:p>
        </w:tc>
        <w:tc>
          <w:tcPr>
            <w:tcW w:type="dxa" w:w="198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Réseau</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OLTP (RDS)</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db.r7g.large</w:t>
            </w:r>
            <w:r>
              <w:rPr>
                <w:sz w:val="18"/>
                <w:szCs w:val="18"/>
              </w:rPr>
              <w:t xml:space="preserve"> (Graviton, mémoire-optimisé), Multi-AZ + 1 réplica</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gp3 100 Go, autoscaling ×5, sauvegardes 35 j</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Sous-réseaux data privés, TLS forcé</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Streaming (MSK)</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 × </w:t>
            </w:r>
            <w:r>
              <w:rPr>
                <w:rFonts w:ascii="Consolas" w:cs="Consolas" w:eastAsia="Consolas" w:hAnsi="Consolas"/>
                <w:color w:val="3B3F8F"/>
                <w:sz w:val="16"/>
                <w:szCs w:val="16"/>
              </w:rPr>
              <w:t xml:space="preserve">kafka.m7g.large</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500 Go EBS par broker, rétention 7 j</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 AZ, IAM + TLS sur 9098</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Feature store (ElastiCache)</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2 × </w:t>
            </w:r>
            <w:r>
              <w:rPr>
                <w:rFonts w:ascii="Consolas" w:cs="Consolas" w:eastAsia="Consolas" w:hAnsi="Consolas"/>
                <w:color w:val="3B3F8F"/>
                <w:sz w:val="16"/>
                <w:szCs w:val="16"/>
              </w:rPr>
              <w:t xml:space="preserve">cache.r7g.large</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En mémoire, éviction </w:t>
            </w:r>
            <w:r>
              <w:rPr>
                <w:rFonts w:ascii="Consolas" w:cs="Consolas" w:eastAsia="Consolas" w:hAnsi="Consolas"/>
                <w:color w:val="3B3F8F"/>
                <w:sz w:val="16"/>
                <w:szCs w:val="16"/>
              </w:rPr>
              <w:t xml:space="preserve">volatile-lru</w:t>
            </w:r>
            <w:r>
              <w:rPr>
                <w:sz w:val="18"/>
                <w:szCs w:val="18"/>
              </w:rPr>
              <w:t xml:space="preserve"> (clés à TTL)</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Latence &lt; 1 ms intra-AZ</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NoSQL (Atlas)</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M30, replica set 3 nœuds</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Autoscaling disque, sauvegarde continue</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PrivateLink</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Scoring et services (Fargate)</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 scorers 1 vCPU / 2 Go ARM64 ; writer, monitor, dashboard</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Sans état</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Sous-réseaux app privés</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Entraînement ML</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CPU suffisant : XGBoost sur ~100 000 lignes en quelques secondes</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S3 (artefacts)</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OLAP (Snowflake)</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Warehouse X-Small, auto-suspend 60 s</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Colonnaire + S3 Parquet pour l’archive</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Network policy ou PrivateLink</w:t>
            </w:r>
          </w:p>
        </w:tc>
      </w:tr>
    </w:tbl>
    <w:p>
      <w:pPr>
        <w:spacing w:after="120"/>
      </w:pPr>
    </w:p>
    <w:p>
      <w:pPr>
        <w:spacing w:after="140" w:line="288"/>
      </w:pPr>
      <w:r>
        <w:rPr>
          <w:b/>
          <w:bCs/>
        </w:rPr>
        <w:t xml:space="preserve">Pourquoi pas de GPU</w:t>
      </w:r>
      <w:r>
        <w:t xml:space="preserve"> : le modèle retenu (gradient boosting sur 7 features tabulaires) s’entraîne et s’infère efficacement sur CPU. Un GPU ne serait justifié que pour un modèle séquentiel (LSTM, transformeur sur l’historique client), identifié comme évolution.</w:t>
      </w:r>
    </w:p>
    <w:p>
      <w:pPr>
        <w:spacing w:after="140" w:line="288"/>
      </w:pPr>
      <w:r>
        <w:rPr>
          <w:b/>
          <w:bCs/>
        </w:rPr>
        <w:t xml:space="preserve">PoC local</w:t>
      </w:r>
      <w:r>
        <w:t xml:space="preserve"> : 8 conteneurs par défaut (plus les profils </w:t>
      </w:r>
      <w:r>
        <w:rPr>
          <w:rFonts w:ascii="Consolas" w:cs="Consolas" w:eastAsia="Consolas" w:hAnsi="Consolas"/>
          <w:color w:val="3B3F8F"/>
          <w:sz w:val="19"/>
          <w:szCs w:val="19"/>
        </w:rPr>
        <w:t xml:space="preserve">flink</w:t>
      </w:r>
      <w:r>
        <w:t xml:space="preserve"> et </w:t>
      </w:r>
      <w:r>
        <w:rPr>
          <w:rFonts w:ascii="Consolas" w:cs="Consolas" w:eastAsia="Consolas" w:hAnsi="Consolas"/>
          <w:color w:val="3B3F8F"/>
          <w:sz w:val="19"/>
          <w:szCs w:val="19"/>
        </w:rPr>
        <w:t xml:space="preserve">airflow</w:t>
      </w:r>
      <w:r>
        <w:t xml:space="preserve">) sur un Mac ARM64, dimensionné pour 5 à 10 transactions par seconde, 200 marchands et 5 000 clients (</w:t>
      </w:r>
      <w:r>
        <w:rPr>
          <w:rFonts w:ascii="Consolas" w:cs="Consolas" w:eastAsia="Consolas" w:hAnsi="Consolas"/>
          <w:color w:val="3B3F8F"/>
          <w:sz w:val="19"/>
          <w:szCs w:val="19"/>
        </w:rPr>
        <w:t xml:space="preserve">seed/seed_data.py</w:t>
      </w:r>
      <w:r>
        <w:t xml:space="preserve">).</w:t>
      </w:r>
    </w:p>
    <w:p>
      <w:pPr>
        <w:pStyle w:val="Heading1"/>
        <w:pageBreakBefore/>
      </w:pPr>
      <w:r>
        <w:t xml:space="preserve">3. Concevoir une architecture Data &amp; IA évolutive et industrialisable</w:t>
      </w:r>
    </w:p>
    <w:p>
      <w:pPr>
        <w:pBdr>
          <w:left w:val="single" w:color="6C63FF" w:sz="24" w:space="8"/>
        </w:pBdr>
        <w:shd w:fill="EEF0FF" w:val="clear"/>
        <w:spacing w:after="180" w:before="120" w:line="276"/>
        <w:ind w:left="160" w:right="120"/>
      </w:pPr>
      <w:r>
        <w:rPr>
          <w:b/>
          <w:bCs/>
          <w:sz w:val="20"/>
          <w:szCs w:val="20"/>
        </w:rPr>
        <w:t xml:space="preserve">Compétence C2</w:t>
      </w:r>
      <w:r>
        <w:rPr>
          <w:sz w:val="20"/>
          <w:szCs w:val="20"/>
        </w:rPr>
        <w:t xml:space="preserve"> — concevoir l’architecture logique et physique.</w:t>
      </w:r>
    </w:p>
    <w:p>
      <w:pPr>
        <w:pStyle w:val="Heading2"/>
      </w:pPr>
      <w:r>
        <w:t xml:space="preserve">Architecture logique</w:t>
      </w:r>
    </w:p>
    <w:p>
      <w:pPr>
        <w:spacing w:after="140" w:line="288"/>
      </w:pPr>
      <w:r>
        <w:t xml:space="preserve">Architecture polyglotte : PostgreSQL pour l’ACID, MongoDB pour les documents évolutifs, Redis pour les features en milliseconde, un schéma en étoile pour l’analytique. Kafka, alimenté par CDC Debezium, relie les systèmes sans que la base transactionnelle n’appelle quiconque.</w:t>
      </w:r>
    </w:p>
    <w:p>
      <w:pPr>
        <w:keepNext/>
        <w:spacing w:after="60" w:before="120"/>
        <w:jc w:val="center"/>
      </w:pPr>
      <w:r>
        <w:drawing>
          <wp:inline distT="0" distB="0" distL="0" distR="0">
            <wp:extent cx="5715000" cy="3762375"/>
            <wp:effectExtent t="0" r="0" b="0" l="0"/>
            <wp:docPr id="1" name="Architecture logique implémentée (presentation/stripe_architecture_globale.drawio)" descr="Architecture logique implémentée (presentation/stripe_architecture_globale.drawio)" title="Architecture logique implémentée (presentation/stripe_architecture_global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762375"/>
                    </a:xfrm>
                    <a:prstGeom prst="rect">
                      <a:avLst/>
                    </a:prstGeom>
                  </pic:spPr>
                </pic:pic>
              </a:graphicData>
            </a:graphic>
          </wp:inline>
        </w:drawing>
      </w:r>
    </w:p>
    <w:p>
      <w:pPr>
        <w:spacing w:after="200"/>
        <w:jc w:val="center"/>
      </w:pPr>
      <w:r>
        <w:rPr>
          <w:i/>
          <w:iCs/>
          <w:color w:val="5F6B7A"/>
          <w:sz w:val="18"/>
          <w:szCs w:val="18"/>
        </w:rPr>
        <w:t xml:space="preserve">Architecture logique implémentée (presentation/stripe_architecture_globale.drawio)</w:t>
      </w:r>
    </w:p>
    <w:p>
      <w:pPr>
        <w:pStyle w:val="Heading2"/>
      </w:pPr>
      <w:r>
        <w:t xml:space="preserve">Architecture physique (cible)</w:t>
      </w:r>
    </w:p>
    <w:p>
      <w:pPr>
        <w:spacing w:after="140" w:line="288"/>
      </w:pPr>
      <w:r>
        <w:t xml:space="preserve">VPC sur trois zones de disponibilité, trois niveaux de sous-réseaux (public pour les NAT, app pour les services, data sans route Internet), services régionaux chiffrés par une clé KMS unique, MongoDB Atlas joint en PrivateLink.</w:t>
      </w:r>
    </w:p>
    <w:p>
      <w:pPr>
        <w:keepNext/>
        <w:spacing w:after="60" w:before="120"/>
        <w:jc w:val="center"/>
      </w:pPr>
      <w:r>
        <w:drawing>
          <wp:inline distT="0" distB="0" distL="0" distR="0">
            <wp:extent cx="5715000" cy="3714750"/>
            <wp:effectExtent t="0" r="0" b="0" l="0"/>
            <wp:docPr id="1" name="Architecture physique de la cible AWS, fidèle à terraform/envs/prod" descr="Architecture physique de la cible AWS, fidèle à terraform/envs/prod" title="Architecture physique de la cible AWS, fidèle à terraform/envs/pr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714750"/>
                    </a:xfrm>
                    <a:prstGeom prst="rect">
                      <a:avLst/>
                    </a:prstGeom>
                  </pic:spPr>
                </pic:pic>
              </a:graphicData>
            </a:graphic>
          </wp:inline>
        </w:drawing>
      </w:r>
    </w:p>
    <w:p>
      <w:pPr>
        <w:spacing w:after="200"/>
        <w:jc w:val="center"/>
      </w:pPr>
      <w:r>
        <w:rPr>
          <w:i/>
          <w:iCs/>
          <w:color w:val="5F6B7A"/>
          <w:sz w:val="18"/>
          <w:szCs w:val="18"/>
        </w:rPr>
        <w:t xml:space="preserve">Architecture physique de la cible AWS, fidèle à terraform/envs/prod</w:t>
      </w:r>
    </w:p>
    <w:p>
      <w:pPr>
        <w:pStyle w:val="Heading2"/>
      </w:pPr>
      <w:r>
        <w:t xml:space="preserve">Évolutivité et industrialisation</w:t>
      </w:r>
    </w:p>
    <w:p>
      <w:pPr>
        <w:pStyle w:val="ListParagraph"/>
        <w:numPr>
          <w:ilvl w:val="0"/>
          <w:numId w:val="2"/>
        </w:numPr>
        <w:spacing w:after="60" w:line="276"/>
      </w:pPr>
      <w:r>
        <w:rPr>
          <w:b/>
          <w:bCs/>
        </w:rPr>
        <w:t xml:space="preserve">Découplage</w:t>
      </w:r>
      <w:r>
        <w:t xml:space="preserve"> : chaque consommateur Kafka évolue indépendamment ; ajouter un consommateur (moteur de recherche, webhooks) ne touche pas PostgreSQL.</w:t>
      </w:r>
    </w:p>
    <w:p>
      <w:pPr>
        <w:pStyle w:val="ListParagraph"/>
        <w:numPr>
          <w:ilvl w:val="0"/>
          <w:numId w:val="2"/>
        </w:numPr>
        <w:spacing w:after="60" w:line="276"/>
      </w:pPr>
      <w:r>
        <w:rPr>
          <w:b/>
          <w:bCs/>
        </w:rPr>
        <w:t xml:space="preserve">Montée en charge horizontale</w:t>
      </w:r>
      <w:r>
        <w:t xml:space="preserve"> : autant de scorers que de partitions ; </w:t>
      </w:r>
      <w:r>
        <w:rPr>
          <w:rFonts w:ascii="Consolas" w:cs="Consolas" w:eastAsia="Consolas" w:hAnsi="Consolas"/>
          <w:color w:val="3B3F8F"/>
          <w:sz w:val="19"/>
          <w:szCs w:val="19"/>
        </w:rPr>
        <w:t xml:space="preserve">desired_count</w:t>
      </w:r>
      <w:r>
        <w:t xml:space="preserve"> Fargate paramétré par environnement.</w:t>
      </w:r>
    </w:p>
    <w:p>
      <w:pPr>
        <w:pStyle w:val="ListParagraph"/>
        <w:numPr>
          <w:ilvl w:val="0"/>
          <w:numId w:val="2"/>
        </w:numPr>
        <w:spacing w:after="60" w:line="276"/>
      </w:pPr>
      <w:r>
        <w:rPr>
          <w:b/>
          <w:bCs/>
        </w:rPr>
        <w:t xml:space="preserve">Même image partout</w:t>
      </w:r>
      <w:r>
        <w:t xml:space="preserve"> : le code applicatif lit les mêmes variables d’environnement en local et en cloud (</w:t>
      </w:r>
      <w:r>
        <w:rPr>
          <w:rFonts w:ascii="Consolas" w:cs="Consolas" w:eastAsia="Consolas" w:hAnsi="Consolas"/>
          <w:color w:val="3B3F8F"/>
          <w:sz w:val="19"/>
          <w:szCs w:val="19"/>
        </w:rPr>
        <w:t xml:space="preserve">PG_HOST</w:t>
      </w:r>
      <w:r>
        <w:t xml:space="preserve">, </w:t>
      </w:r>
      <w:r>
        <w:rPr>
          <w:rFonts w:ascii="Consolas" w:cs="Consolas" w:eastAsia="Consolas" w:hAnsi="Consolas"/>
          <w:color w:val="3B3F8F"/>
          <w:sz w:val="19"/>
          <w:szCs w:val="19"/>
        </w:rPr>
        <w:t xml:space="preserve">KAFKA_BROKERS</w:t>
      </w:r>
      <w:r>
        <w:t xml:space="preserve">…).</w:t>
      </w:r>
    </w:p>
    <w:p>
      <w:pPr>
        <w:pStyle w:val="ListParagraph"/>
        <w:numPr>
          <w:ilvl w:val="0"/>
          <w:numId w:val="2"/>
        </w:numPr>
        <w:spacing w:after="60" w:line="276"/>
      </w:pPr>
      <w:r>
        <w:rPr>
          <w:b/>
          <w:bCs/>
        </w:rPr>
        <w:t xml:space="preserve">Trace des décisions</w:t>
      </w:r>
      <w:r>
        <w:t xml:space="preserve"> : </w:t>
      </w:r>
      <w:r>
        <w:rPr>
          <w:rFonts w:ascii="Consolas" w:cs="Consolas" w:eastAsia="Consolas" w:hAnsi="Consolas"/>
          <w:color w:val="3B3F8F"/>
          <w:sz w:val="19"/>
          <w:szCs w:val="19"/>
        </w:rPr>
        <w:t xml:space="preserve">model_version</w:t>
      </w:r>
      <w:r>
        <w:t xml:space="preserve"> sur chaque score permet de faire cohabiter et comparer plusieurs modèles.</w:t>
      </w:r>
    </w:p>
    <w:p>
      <w:pPr>
        <w:pStyle w:val="Heading1"/>
        <w:pageBreakBefore/>
      </w:pPr>
      <w:r>
        <w:t xml:space="preserve">4. Arbitrer Cloud / On-Premise / Hybride et IaaS / PaaS / Serverless</w:t>
      </w:r>
    </w:p>
    <w:p>
      <w:pPr>
        <w:pBdr>
          <w:left w:val="single" w:color="6C63FF" w:sz="24" w:space="8"/>
        </w:pBdr>
        <w:shd w:fill="EEF0FF" w:val="clear"/>
        <w:spacing w:after="180" w:before="120" w:line="276"/>
        <w:ind w:left="160" w:right="120"/>
      </w:pPr>
      <w:r>
        <w:rPr>
          <w:b/>
          <w:bCs/>
          <w:sz w:val="20"/>
          <w:szCs w:val="20"/>
        </w:rPr>
        <w:t xml:space="preserve">Compétence C3</w:t>
      </w:r>
      <w:r>
        <w:rPr>
          <w:sz w:val="20"/>
          <w:szCs w:val="20"/>
        </w:rPr>
        <w:t xml:space="preserve"> — arbitrer les modèles de déploiement et de service.</w:t>
      </w:r>
    </w:p>
    <w:p>
      <w:pPr>
        <w:spacing w:after="140" w:line="288"/>
      </w:pPr>
      <w:r>
        <w:t xml:space="preserve">Choix retenu : </w:t>
      </w:r>
      <w:r>
        <w:rPr>
          <w:b/>
          <w:bCs/>
        </w:rPr>
        <w:t xml:space="preserve">cloud public, PaaS dominant, conteneurs serverless (Fargate)</w:t>
      </w:r>
      <w:r>
        <w:t xml:space="preserve">. Les critères : conformité (PCI-DSS, RGPD), charge d’exploitation, élasticité, coût total, réversibilité.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63"/>
        <w:gridCol w:w="2527"/>
        <w:gridCol w:w="2707"/>
        <w:gridCol w:w="2529"/>
      </w:tblGrid>
      <w:tr>
        <w:trPr>
          <w:tblHeader/>
        </w:trPr>
        <w:tc>
          <w:tcPr>
            <w:tcW w:type="dxa" w:w="1263"/>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Option</w:t>
            </w:r>
          </w:p>
        </w:tc>
        <w:tc>
          <w:tcPr>
            <w:tcW w:type="dxa" w:w="252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Avantages</w:t>
            </w:r>
          </w:p>
        </w:tc>
        <w:tc>
          <w:tcPr>
            <w:tcW w:type="dxa" w:w="270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Limites</w:t>
            </w:r>
          </w:p>
        </w:tc>
        <w:tc>
          <w:tcPr>
            <w:tcW w:type="dxa" w:w="2529"/>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Décision pour Stripe</w:t>
            </w:r>
          </w:p>
        </w:tc>
      </w:tr>
      <w:tr>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On-premise</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Contrôle total, pas de dépendance fournisseur</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Investissement initial lourd, montée en charge lente, astreinte matérielle</w:t>
            </w:r>
          </w:p>
        </w:tc>
        <w:tc>
          <w:tcPr>
            <w:tcW w:type="dxa" w:w="25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Écarté</w:t>
            </w:r>
          </w:p>
        </w:tc>
      </w:tr>
      <w:tr>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Cloud public</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Élasticité, services managés certifiés PCI-DSS</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Dépendance fournisseur, coûts à piloter</w:t>
            </w:r>
          </w:p>
        </w:tc>
        <w:tc>
          <w:tcPr>
            <w:tcW w:type="dxa" w:w="25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Retenu comme socle</w:t>
            </w:r>
          </w:p>
        </w:tc>
      </w:tr>
      <w:tr>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Hybride</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Résidence de données, migration progressive</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Complexité réseau et opérationnelle</w:t>
            </w:r>
          </w:p>
        </w:tc>
        <w:tc>
          <w:tcPr>
            <w:tcW w:type="dxa" w:w="25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Non retenu : la région UE suffit au RGPD</w:t>
            </w:r>
          </w:p>
        </w:tc>
      </w:tr>
      <w:tr>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IaaS (EC2)</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Liberté de configuration</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Patching, haute dispo à construire soi-même</w:t>
            </w:r>
          </w:p>
        </w:tc>
        <w:tc>
          <w:tcPr>
            <w:tcW w:type="dxa" w:w="25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Aucun composant</w:t>
            </w:r>
          </w:p>
        </w:tc>
      </w:tr>
      <w:tr>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PaaS</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Haute disponibilité et sauvegardes intégrées</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Moins de réglages fins</w:t>
            </w:r>
          </w:p>
        </w:tc>
        <w:tc>
          <w:tcPr>
            <w:tcW w:type="dxa" w:w="25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RDS, MSK, ElastiCache, Atlas, MWAA</w:t>
            </w:r>
          </w:p>
        </w:tc>
      </w:tr>
      <w:tr>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Serverless</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Aucun serveur à gérer, facturation à l’usage</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Démarrage à froid, limites de durée</w:t>
            </w:r>
          </w:p>
        </w:tc>
        <w:tc>
          <w:tcPr>
            <w:tcW w:type="dxa" w:w="25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Fargate pour les services ; EventBridge envisagé à la place de MWAA (levier FinOps)</w:t>
            </w:r>
          </w:p>
        </w:tc>
      </w:tr>
    </w:tbl>
    <w:p>
      <w:pPr>
        <w:spacing w:after="120"/>
      </w:pPr>
    </w:p>
    <w:p>
      <w:pPr>
        <w:spacing w:after="140" w:line="288"/>
      </w:pPr>
      <w:r>
        <w:rPr>
          <w:b/>
          <w:bCs/>
        </w:rPr>
        <w:t xml:space="preserve">Pourquoi Fargate plutôt que Lambda ou EKS</w:t>
      </w:r>
      <w:r>
        <w:t xml:space="preserve"> : le scorer est un consommateur Kafka qui tourne en continu, ce qui écarte Lambda (durée limitée, reconnexions). EKS apporterait une charge d’exploitation (plan de contrôle, mises à jour) injustifiée pour quatre services.</w:t>
      </w:r>
    </w:p>
    <w:p>
      <w:pPr>
        <w:spacing w:after="140" w:line="288"/>
      </w:pPr>
      <w:r>
        <w:rPr>
          <w:b/>
          <w:bCs/>
        </w:rPr>
        <w:t xml:space="preserve">Pourquoi Atlas plutôt que DocumentDB</w:t>
      </w:r>
      <w:r>
        <w:t xml:space="preserve"> : compatibilité MongoDB 7 complète (index TTL, </w:t>
      </w:r>
      <w:r>
        <w:rPr>
          <w:rFonts w:ascii="Consolas" w:cs="Consolas" w:eastAsia="Consolas" w:hAnsi="Consolas"/>
          <w:color w:val="3B3F8F"/>
          <w:sz w:val="19"/>
          <w:szCs w:val="19"/>
        </w:rPr>
        <w:t xml:space="preserve">$percentile</w:t>
      </w:r>
      <w:r>
        <w:t xml:space="preserve"> utilisé dans les requêtes) et PrivateLink natif.</w:t>
      </w:r>
    </w:p>
    <w:p>
      <w:pPr>
        <w:pStyle w:val="Heading1"/>
        <w:pageBreakBefore/>
      </w:pPr>
      <w:r>
        <w:t xml:space="preserve">5. Industrialiser via l’Infrastructure as Code (Terraform)</w:t>
      </w:r>
    </w:p>
    <w:p>
      <w:pPr>
        <w:pBdr>
          <w:left w:val="single" w:color="2E7D32" w:sz="24" w:space="8"/>
        </w:pBdr>
        <w:shd w:fill="EAF7EF" w:val="clear"/>
        <w:spacing w:after="180" w:before="120" w:line="276"/>
        <w:ind w:left="160" w:right="120"/>
      </w:pPr>
      <w:r>
        <w:rPr>
          <w:b/>
          <w:bCs/>
          <w:sz w:val="20"/>
          <w:szCs w:val="20"/>
        </w:rPr>
        <w:t xml:space="preserve">Compétence C4</w:t>
      </w:r>
      <w:r>
        <w:rPr>
          <w:sz w:val="20"/>
          <w:szCs w:val="20"/>
        </w:rPr>
        <w:t xml:space="preserve"> — industrialiser via l’Infrastructure as Code. </w:t>
      </w:r>
      <w:r>
        <w:rPr>
          <w:b/>
          <w:bCs/>
          <w:sz w:val="20"/>
          <w:szCs w:val="20"/>
        </w:rPr>
        <w:t xml:space="preserve">Preuve : dossier `terraform/`, validé à chaque push par le job CI `terraform`.</w:t>
      </w:r>
    </w:p>
    <w:p>
      <w:pPr>
        <w:pStyle w:val="Heading2"/>
      </w:pPr>
      <w:r>
        <w:t xml:space="preserve">Organisation du code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7"/>
        <w:gridCol w:w="6319"/>
      </w:tblGrid>
      <w:tr>
        <w:trPr>
          <w:tblHeader/>
        </w:trPr>
        <w:tc>
          <w:tcPr>
            <w:tcW w:type="dxa" w:w="270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Élément</w:t>
            </w:r>
          </w:p>
        </w:tc>
        <w:tc>
          <w:tcPr>
            <w:tcW w:type="dxa" w:w="6319"/>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terraform/bootstrap</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Bucket S3 du state : versionné, chiffré, public bloqué, </w:t>
            </w:r>
            <w:r>
              <w:rPr>
                <w:rFonts w:ascii="Consolas" w:cs="Consolas" w:eastAsia="Consolas" w:hAnsi="Consolas"/>
                <w:color w:val="3B3F8F"/>
                <w:sz w:val="16"/>
                <w:szCs w:val="16"/>
              </w:rPr>
              <w:t xml:space="preserve">prevent_destroy</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terraform/modules/*</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10 modules : network, security, rds, msk, elasticache, mongodb_atlas, storage, compute, airflow (+ versions des providers par module)</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terraform/stack</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Composition des modules, alarmes CloudWatch, SNS, budget</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terraform/envs/dev</w:t>
            </w:r>
            <w:r>
              <w:rPr>
                <w:sz w:val="18"/>
                <w:szCs w:val="18"/>
              </w:rPr>
              <w:t xml:space="preserve">, </w:t>
            </w:r>
            <w:r>
              <w:rPr>
                <w:rFonts w:ascii="Consolas" w:cs="Consolas" w:eastAsia="Consolas" w:hAnsi="Consolas"/>
                <w:color w:val="3B3F8F"/>
                <w:sz w:val="16"/>
                <w:szCs w:val="16"/>
              </w:rPr>
              <w:t xml:space="preserve">envs/prod</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Dimensionnement, backend S3 à clé distincte, </w:t>
            </w:r>
            <w:r>
              <w:rPr>
                <w:rFonts w:ascii="Consolas" w:cs="Consolas" w:eastAsia="Consolas" w:hAnsi="Consolas"/>
                <w:color w:val="3B3F8F"/>
                <w:sz w:val="16"/>
                <w:szCs w:val="16"/>
              </w:rPr>
              <w:t xml:space="preserve">default_tags</w:t>
            </w:r>
            <w:r>
              <w:rPr>
                <w:sz w:val="18"/>
                <w:szCs w:val="18"/>
              </w:rPr>
              <w:t xml:space="preserve"> de coût</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Verrouillage du state</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Fichier </w:t>
            </w:r>
            <w:r>
              <w:rPr>
                <w:rFonts w:ascii="Consolas" w:cs="Consolas" w:eastAsia="Consolas" w:hAnsi="Consolas"/>
                <w:color w:val="3B3F8F"/>
                <w:sz w:val="16"/>
                <w:szCs w:val="16"/>
              </w:rPr>
              <w:t xml:space="preserve">.tflock</w:t>
            </w:r>
            <w:r>
              <w:rPr>
                <w:sz w:val="18"/>
                <w:szCs w:val="18"/>
              </w:rPr>
              <w:t xml:space="preserve"> natif (Terraform ≥ 1.10), sans table DynamoDB</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Secrets</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Aucun dans le code : clés Atlas par variables d’environnement, mot de passe RDS géré par RDS, valeurs générées par </w:t>
            </w:r>
            <w:r>
              <w:rPr>
                <w:rFonts w:ascii="Consolas" w:cs="Consolas" w:eastAsia="Consolas" w:hAnsi="Consolas"/>
                <w:color w:val="3B3F8F"/>
                <w:sz w:val="16"/>
                <w:szCs w:val="16"/>
              </w:rPr>
              <w:t xml:space="preserve">random_password</w:t>
            </w:r>
            <w:r>
              <w:rPr>
                <w:sz w:val="18"/>
                <w:szCs w:val="18"/>
              </w:rPr>
              <w:t xml:space="preserve"> stockées dans Secrets Manager</w:t>
            </w:r>
          </w:p>
        </w:tc>
      </w:tr>
    </w:tbl>
    <w:p>
      <w:pPr>
        <w:spacing w:after="120"/>
      </w:pPr>
    </w:p>
    <w:p>
      <w:pPr>
        <w:pStyle w:val="Heading2"/>
      </w:pPr>
      <w:r>
        <w:t xml:space="preserve">Extrait réel — module rds</w:t>
      </w:r>
    </w:p>
    <w:p>
      <w:pPr>
        <w:shd w:fill="F4F5FA" w:val="clear"/>
        <w:spacing w:after="0" w:before="80" w:line="240"/>
        <w:ind w:left="120" w:right="120"/>
      </w:pPr>
      <w:r>
        <w:rPr>
          <w:rFonts w:ascii="Consolas" w:cs="Consolas" w:eastAsia="Consolas" w:hAnsi="Consolas"/>
          <w:color w:val="1A1F36"/>
          <w:sz w:val="17"/>
          <w:szCs w:val="17"/>
        </w:rPr>
        <w:t xml:space="preserve">resource "aws_db_parameter_group" "this" {</w:t>
      </w:r>
    </w:p>
    <w:p>
      <w:pPr>
        <w:shd w:fill="F4F5FA" w:val="clear"/>
        <w:spacing w:after="0" w:before="0" w:line="240"/>
        <w:ind w:left="120" w:right="120"/>
      </w:pPr>
      <w:r>
        <w:rPr>
          <w:rFonts w:ascii="Consolas" w:cs="Consolas" w:eastAsia="Consolas" w:hAnsi="Consolas"/>
          <w:color w:val="1A1F36"/>
          <w:sz w:val="17"/>
          <w:szCs w:val="17"/>
        </w:rPr>
        <w:t xml:space="preserve">  name   = "${var.name}-pg16"</w:t>
      </w:r>
    </w:p>
    <w:p>
      <w:pPr>
        <w:shd w:fill="F4F5FA" w:val="clear"/>
        <w:spacing w:after="0" w:before="0" w:line="240"/>
        <w:ind w:left="120" w:right="120"/>
      </w:pPr>
      <w:r>
        <w:rPr>
          <w:rFonts w:ascii="Consolas" w:cs="Consolas" w:eastAsia="Consolas" w:hAnsi="Consolas"/>
          <w:color w:val="1A1F36"/>
          <w:sz w:val="17"/>
          <w:szCs w:val="17"/>
        </w:rPr>
        <w:t xml:space="preserve">  family = "postgres16"</w:t>
      </w:r>
    </w:p>
    <w:p>
      <w:pPr>
        <w:shd w:fill="F4F5FA" w:val="clear"/>
        <w:spacing w:after="0" w:before="0" w:line="240"/>
        <w:ind w:left="120" w:right="120"/>
      </w:pPr>
      <w:r>
        <w:rPr>
          <w:rFonts w:ascii="Consolas" w:cs="Consolas" w:eastAsia="Consolas" w:hAnsi="Consolas"/>
          <w:color w:val="1A1F36"/>
          <w:sz w:val="17"/>
          <w:szCs w:val="17"/>
        </w:rPr>
        <w:t xml:space="preserve"> </w:t>
      </w:r>
    </w:p>
    <w:p>
      <w:pPr>
        <w:shd w:fill="F4F5FA" w:val="clear"/>
        <w:spacing w:after="0" w:before="0" w:line="240"/>
        <w:ind w:left="120" w:right="120"/>
      </w:pPr>
      <w:r>
        <w:rPr>
          <w:rFonts w:ascii="Consolas" w:cs="Consolas" w:eastAsia="Consolas" w:hAnsi="Consolas"/>
          <w:color w:val="1A1F36"/>
          <w:sz w:val="17"/>
          <w:szCs w:val="17"/>
        </w:rPr>
        <w:t xml:space="preserve">  # CDC Debezium (plugin pgoutput)</w:t>
      </w:r>
    </w:p>
    <w:p>
      <w:pPr>
        <w:shd w:fill="F4F5FA" w:val="clear"/>
        <w:spacing w:after="0" w:before="0" w:line="240"/>
        <w:ind w:left="120" w:right="120"/>
      </w:pPr>
      <w:r>
        <w:rPr>
          <w:rFonts w:ascii="Consolas" w:cs="Consolas" w:eastAsia="Consolas" w:hAnsi="Consolas"/>
          <w:color w:val="1A1F36"/>
          <w:sz w:val="17"/>
          <w:szCs w:val="17"/>
        </w:rPr>
        <w:t xml:space="preserve">  parameter {</w:t>
      </w:r>
    </w:p>
    <w:p>
      <w:pPr>
        <w:shd w:fill="F4F5FA" w:val="clear"/>
        <w:spacing w:after="0" w:before="0" w:line="240"/>
        <w:ind w:left="120" w:right="120"/>
      </w:pPr>
      <w:r>
        <w:rPr>
          <w:rFonts w:ascii="Consolas" w:cs="Consolas" w:eastAsia="Consolas" w:hAnsi="Consolas"/>
          <w:color w:val="1A1F36"/>
          <w:sz w:val="17"/>
          <w:szCs w:val="17"/>
        </w:rPr>
        <w:t xml:space="preserve">    name         = "rds.logical_replication"</w:t>
      </w:r>
    </w:p>
    <w:p>
      <w:pPr>
        <w:shd w:fill="F4F5FA" w:val="clear"/>
        <w:spacing w:after="0" w:before="0" w:line="240"/>
        <w:ind w:left="120" w:right="120"/>
      </w:pPr>
      <w:r>
        <w:rPr>
          <w:rFonts w:ascii="Consolas" w:cs="Consolas" w:eastAsia="Consolas" w:hAnsi="Consolas"/>
          <w:color w:val="1A1F36"/>
          <w:sz w:val="17"/>
          <w:szCs w:val="17"/>
        </w:rPr>
        <w:t xml:space="preserve">    value        = "1"</w:t>
      </w:r>
    </w:p>
    <w:p>
      <w:pPr>
        <w:shd w:fill="F4F5FA" w:val="clear"/>
        <w:spacing w:after="0" w:before="0" w:line="240"/>
        <w:ind w:left="120" w:right="120"/>
      </w:pPr>
      <w:r>
        <w:rPr>
          <w:rFonts w:ascii="Consolas" w:cs="Consolas" w:eastAsia="Consolas" w:hAnsi="Consolas"/>
          <w:color w:val="1A1F36"/>
          <w:sz w:val="17"/>
          <w:szCs w:val="17"/>
        </w:rPr>
        <w:t xml:space="preserve">    apply_method = "pending-reboot"</w:t>
      </w:r>
    </w:p>
    <w:p>
      <w:pPr>
        <w:shd w:fill="F4F5FA" w:val="clear"/>
        <w:spacing w:after="0" w:before="0" w:line="240"/>
        <w:ind w:left="120" w:right="120"/>
      </w:pPr>
      <w:r>
        <w:rPr>
          <w:rFonts w:ascii="Consolas" w:cs="Consolas" w:eastAsia="Consolas" w:hAnsi="Consolas"/>
          <w:color w:val="1A1F36"/>
          <w:sz w:val="17"/>
          <w:szCs w:val="17"/>
        </w:rPr>
        <w:t xml:space="preserve">  }</w:t>
      </w:r>
    </w:p>
    <w:p>
      <w:pPr>
        <w:shd w:fill="F4F5FA" w:val="clear"/>
        <w:spacing w:after="0" w:before="0" w:line="240"/>
        <w:ind w:left="120" w:right="120"/>
      </w:pPr>
      <w:r>
        <w:rPr>
          <w:rFonts w:ascii="Consolas" w:cs="Consolas" w:eastAsia="Consolas" w:hAnsi="Consolas"/>
          <w:color w:val="1A1F36"/>
          <w:sz w:val="17"/>
          <w:szCs w:val="17"/>
        </w:rPr>
        <w:t xml:space="preserve">  # Refuse toute connexion non TLS (PCI-DSS req. 4)</w:t>
      </w:r>
    </w:p>
    <w:p>
      <w:pPr>
        <w:shd w:fill="F4F5FA" w:val="clear"/>
        <w:spacing w:after="0" w:before="0" w:line="240"/>
        <w:ind w:left="120" w:right="120"/>
      </w:pPr>
      <w:r>
        <w:rPr>
          <w:rFonts w:ascii="Consolas" w:cs="Consolas" w:eastAsia="Consolas" w:hAnsi="Consolas"/>
          <w:color w:val="1A1F36"/>
          <w:sz w:val="17"/>
          <w:szCs w:val="17"/>
        </w:rPr>
        <w:t xml:space="preserve">  parameter {</w:t>
      </w:r>
    </w:p>
    <w:p>
      <w:pPr>
        <w:shd w:fill="F4F5FA" w:val="clear"/>
        <w:spacing w:after="0" w:before="0" w:line="240"/>
        <w:ind w:left="120" w:right="120"/>
      </w:pPr>
      <w:r>
        <w:rPr>
          <w:rFonts w:ascii="Consolas" w:cs="Consolas" w:eastAsia="Consolas" w:hAnsi="Consolas"/>
          <w:color w:val="1A1F36"/>
          <w:sz w:val="17"/>
          <w:szCs w:val="17"/>
        </w:rPr>
        <w:t xml:space="preserve">    name  = "rds.force_ssl"</w:t>
      </w:r>
    </w:p>
    <w:p>
      <w:pPr>
        <w:shd w:fill="F4F5FA" w:val="clear"/>
        <w:spacing w:after="0" w:before="0" w:line="240"/>
        <w:ind w:left="120" w:right="120"/>
      </w:pPr>
      <w:r>
        <w:rPr>
          <w:rFonts w:ascii="Consolas" w:cs="Consolas" w:eastAsia="Consolas" w:hAnsi="Consolas"/>
          <w:color w:val="1A1F36"/>
          <w:sz w:val="17"/>
          <w:szCs w:val="17"/>
        </w:rPr>
        <w:t xml:space="preserve">    value = "1"</w:t>
      </w:r>
    </w:p>
    <w:p>
      <w:pPr>
        <w:shd w:fill="F4F5FA" w:val="clear"/>
        <w:spacing w:after="0" w:before="0" w:line="240"/>
        <w:ind w:left="120" w:right="120"/>
      </w:pPr>
      <w:r>
        <w:rPr>
          <w:rFonts w:ascii="Consolas" w:cs="Consolas" w:eastAsia="Consolas" w:hAnsi="Consolas"/>
          <w:color w:val="1A1F36"/>
          <w:sz w:val="17"/>
          <w:szCs w:val="17"/>
        </w:rPr>
        <w:t xml:space="preserve">  }</w:t>
      </w:r>
    </w:p>
    <w:p>
      <w:pPr>
        <w:shd w:fill="F4F5FA" w:val="clear"/>
        <w:spacing w:after="0" w:before="0" w:line="240"/>
        <w:ind w:left="120" w:right="120"/>
      </w:pPr>
      <w:r>
        <w:rPr>
          <w:rFonts w:ascii="Consolas" w:cs="Consolas" w:eastAsia="Consolas" w:hAnsi="Consolas"/>
          <w:color w:val="1A1F36"/>
          <w:sz w:val="17"/>
          <w:szCs w:val="17"/>
        </w:rPr>
        <w:t xml:space="preserve">}</w:t>
      </w:r>
    </w:p>
    <w:p>
      <w:pPr>
        <w:shd w:fill="F4F5FA" w:val="clear"/>
        <w:spacing w:after="0" w:before="0" w:line="240"/>
        <w:ind w:left="120" w:right="120"/>
      </w:pPr>
      <w:r>
        <w:rPr>
          <w:rFonts w:ascii="Consolas" w:cs="Consolas" w:eastAsia="Consolas" w:hAnsi="Consolas"/>
          <w:color w:val="1A1F36"/>
          <w:sz w:val="17"/>
          <w:szCs w:val="17"/>
        </w:rPr>
        <w:t xml:space="preserve"> </w:t>
      </w:r>
    </w:p>
    <w:p>
      <w:pPr>
        <w:shd w:fill="F4F5FA" w:val="clear"/>
        <w:spacing w:after="0" w:before="0" w:line="240"/>
        <w:ind w:left="120" w:right="120"/>
      </w:pPr>
      <w:r>
        <w:rPr>
          <w:rFonts w:ascii="Consolas" w:cs="Consolas" w:eastAsia="Consolas" w:hAnsi="Consolas"/>
          <w:color w:val="1A1F36"/>
          <w:sz w:val="17"/>
          <w:szCs w:val="17"/>
        </w:rPr>
        <w:t xml:space="preserve">resource "aws_db_instance" "primary" {</w:t>
      </w:r>
    </w:p>
    <w:p>
      <w:pPr>
        <w:shd w:fill="F4F5FA" w:val="clear"/>
        <w:spacing w:after="0" w:before="0" w:line="240"/>
        <w:ind w:left="120" w:right="120"/>
      </w:pPr>
      <w:r>
        <w:rPr>
          <w:rFonts w:ascii="Consolas" w:cs="Consolas" w:eastAsia="Consolas" w:hAnsi="Consolas"/>
          <w:color w:val="1A1F36"/>
          <w:sz w:val="17"/>
          <w:szCs w:val="17"/>
        </w:rPr>
        <w:t xml:space="preserve">  engine                        = "postgres"</w:t>
      </w:r>
    </w:p>
    <w:p>
      <w:pPr>
        <w:shd w:fill="F4F5FA" w:val="clear"/>
        <w:spacing w:after="0" w:before="0" w:line="240"/>
        <w:ind w:left="120" w:right="120"/>
      </w:pPr>
      <w:r>
        <w:rPr>
          <w:rFonts w:ascii="Consolas" w:cs="Consolas" w:eastAsia="Consolas" w:hAnsi="Consolas"/>
          <w:color w:val="1A1F36"/>
          <w:sz w:val="17"/>
          <w:szCs w:val="17"/>
        </w:rPr>
        <w:t xml:space="preserve">  instance_class                = var.instance_class</w:t>
      </w:r>
    </w:p>
    <w:p>
      <w:pPr>
        <w:shd w:fill="F4F5FA" w:val="clear"/>
        <w:spacing w:after="0" w:before="0" w:line="240"/>
        <w:ind w:left="120" w:right="120"/>
      </w:pPr>
      <w:r>
        <w:rPr>
          <w:rFonts w:ascii="Consolas" w:cs="Consolas" w:eastAsia="Consolas" w:hAnsi="Consolas"/>
          <w:color w:val="1A1F36"/>
          <w:sz w:val="17"/>
          <w:szCs w:val="17"/>
        </w:rPr>
        <w:t xml:space="preserve">  manage_master_user_password   = true          # secret géré et tourné par RDS</w:t>
      </w:r>
    </w:p>
    <w:p>
      <w:pPr>
        <w:shd w:fill="F4F5FA" w:val="clear"/>
        <w:spacing w:after="0" w:before="0" w:line="240"/>
        <w:ind w:left="120" w:right="120"/>
      </w:pPr>
      <w:r>
        <w:rPr>
          <w:rFonts w:ascii="Consolas" w:cs="Consolas" w:eastAsia="Consolas" w:hAnsi="Consolas"/>
          <w:color w:val="1A1F36"/>
          <w:sz w:val="17"/>
          <w:szCs w:val="17"/>
        </w:rPr>
        <w:t xml:space="preserve">  master_user_secret_kms_key_id = var.kms_key_arn</w:t>
      </w:r>
    </w:p>
    <w:p>
      <w:pPr>
        <w:shd w:fill="F4F5FA" w:val="clear"/>
        <w:spacing w:after="0" w:before="0" w:line="240"/>
        <w:ind w:left="120" w:right="120"/>
      </w:pPr>
      <w:r>
        <w:rPr>
          <w:rFonts w:ascii="Consolas" w:cs="Consolas" w:eastAsia="Consolas" w:hAnsi="Consolas"/>
          <w:color w:val="1A1F36"/>
          <w:sz w:val="17"/>
          <w:szCs w:val="17"/>
        </w:rPr>
        <w:t xml:space="preserve">  storage_encrypted             = true</w:t>
      </w:r>
    </w:p>
    <w:p>
      <w:pPr>
        <w:shd w:fill="F4F5FA" w:val="clear"/>
        <w:spacing w:after="0" w:before="0" w:line="240"/>
        <w:ind w:left="120" w:right="120"/>
      </w:pPr>
      <w:r>
        <w:rPr>
          <w:rFonts w:ascii="Consolas" w:cs="Consolas" w:eastAsia="Consolas" w:hAnsi="Consolas"/>
          <w:color w:val="1A1F36"/>
          <w:sz w:val="17"/>
          <w:szCs w:val="17"/>
        </w:rPr>
        <w:t xml:space="preserve">  multi_az                      = var.multi_az</w:t>
      </w:r>
    </w:p>
    <w:p>
      <w:pPr>
        <w:shd w:fill="F4F5FA" w:val="clear"/>
        <w:spacing w:after="0" w:before="0" w:line="240"/>
        <w:ind w:left="120" w:right="120"/>
      </w:pPr>
      <w:r>
        <w:rPr>
          <w:rFonts w:ascii="Consolas" w:cs="Consolas" w:eastAsia="Consolas" w:hAnsi="Consolas"/>
          <w:color w:val="1A1F36"/>
          <w:sz w:val="17"/>
          <w:szCs w:val="17"/>
        </w:rPr>
        <w:t xml:space="preserve">  publicly_accessible           = false</w:t>
      </w:r>
    </w:p>
    <w:p>
      <w:pPr>
        <w:shd w:fill="F4F5FA" w:val="clear"/>
        <w:spacing w:after="0" w:before="0" w:line="240"/>
        <w:ind w:left="120" w:right="120"/>
      </w:pPr>
      <w:r>
        <w:rPr>
          <w:rFonts w:ascii="Consolas" w:cs="Consolas" w:eastAsia="Consolas" w:hAnsi="Consolas"/>
          <w:color w:val="1A1F36"/>
          <w:sz w:val="17"/>
          <w:szCs w:val="17"/>
        </w:rPr>
        <w:t xml:space="preserve">  deletion_protection           = var.deletion_protection</w:t>
      </w:r>
    </w:p>
    <w:p>
      <w:pPr>
        <w:shd w:fill="F4F5FA" w:val="clear"/>
        <w:spacing w:after="160" w:before="0" w:line="240"/>
        <w:ind w:left="120" w:right="120"/>
      </w:pPr>
      <w:r>
        <w:rPr>
          <w:rFonts w:ascii="Consolas" w:cs="Consolas" w:eastAsia="Consolas" w:hAnsi="Consolas"/>
          <w:color w:val="1A1F36"/>
          <w:sz w:val="17"/>
          <w:szCs w:val="17"/>
        </w:rPr>
        <w:t xml:space="preserve">}</w:t>
      </w:r>
    </w:p>
    <w:p>
      <w:pPr>
        <w:pStyle w:val="Heading2"/>
      </w:pPr>
      <w:r>
        <w:t xml:space="preserve">Validation et limites</w:t>
      </w:r>
    </w:p>
    <w:p>
      <w:pPr>
        <w:pStyle w:val="ListParagraph"/>
        <w:numPr>
          <w:ilvl w:val="0"/>
          <w:numId w:val="2"/>
        </w:numPr>
        <w:spacing w:after="60" w:line="276"/>
      </w:pPr>
      <w:r>
        <w:rPr>
          <w:rFonts w:ascii="Consolas" w:cs="Consolas" w:eastAsia="Consolas" w:hAnsi="Consolas"/>
          <w:color w:val="3B3F8F"/>
          <w:sz w:val="19"/>
          <w:szCs w:val="19"/>
        </w:rPr>
        <w:t xml:space="preserve">make tf-validate</w:t>
      </w:r>
      <w:r>
        <w:t xml:space="preserve"> et le job CI exécutent </w:t>
      </w:r>
      <w:r>
        <w:rPr>
          <w:rFonts w:ascii="Consolas" w:cs="Consolas" w:eastAsia="Consolas" w:hAnsi="Consolas"/>
          <w:color w:val="3B3F8F"/>
          <w:sz w:val="19"/>
          <w:szCs w:val="19"/>
        </w:rPr>
        <w:t xml:space="preserve">terraform fmt -check</w:t>
      </w:r>
      <w:r>
        <w:t xml:space="preserve">, puis </w:t>
      </w:r>
      <w:r>
        <w:rPr>
          <w:rFonts w:ascii="Consolas" w:cs="Consolas" w:eastAsia="Consolas" w:hAnsi="Consolas"/>
          <w:color w:val="3B3F8F"/>
          <w:sz w:val="19"/>
          <w:szCs w:val="19"/>
        </w:rPr>
        <w:t xml:space="preserve">init -backend=false</w:t>
      </w:r>
      <w:r>
        <w:t xml:space="preserve"> et </w:t>
      </w:r>
      <w:r>
        <w:rPr>
          <w:rFonts w:ascii="Consolas" w:cs="Consolas" w:eastAsia="Consolas" w:hAnsi="Consolas"/>
          <w:color w:val="3B3F8F"/>
          <w:sz w:val="19"/>
          <w:szCs w:val="19"/>
        </w:rPr>
        <w:t xml:space="preserve">validate</w:t>
      </w:r>
      <w:r>
        <w:t xml:space="preserve"> sur bootstrap, dev et prod.</w:t>
      </w:r>
    </w:p>
    <w:p>
      <w:pPr>
        <w:pStyle w:val="ListParagraph"/>
        <w:numPr>
          <w:ilvl w:val="0"/>
          <w:numId w:val="2"/>
        </w:numPr>
        <w:spacing w:after="60" w:line="276"/>
      </w:pPr>
      <w:r>
        <w:rPr>
          <w:b/>
          <w:bCs/>
        </w:rPr>
        <w:t xml:space="preserve">Non appliqué</w:t>
      </w:r>
      <w:r>
        <w:t xml:space="preserve"> : un </w:t>
      </w:r>
      <w:r>
        <w:rPr>
          <w:rFonts w:ascii="Consolas" w:cs="Consolas" w:eastAsia="Consolas" w:hAnsi="Consolas"/>
          <w:color w:val="3B3F8F"/>
          <w:sz w:val="19"/>
          <w:szCs w:val="19"/>
        </w:rPr>
        <w:t xml:space="preserve">plan</w:t>
      </w:r>
      <w:r>
        <w:t xml:space="preserve"> réel demande un compte AWS et Atlas. Étape suivante : fédération OIDC GitHub → AWS, </w:t>
      </w:r>
      <w:r>
        <w:rPr>
          <w:rFonts w:ascii="Consolas" w:cs="Consolas" w:eastAsia="Consolas" w:hAnsi="Consolas"/>
          <w:color w:val="3B3F8F"/>
          <w:sz w:val="19"/>
          <w:szCs w:val="19"/>
        </w:rPr>
        <w:t xml:space="preserve">plan</w:t>
      </w:r>
      <w:r>
        <w:t xml:space="preserve"> commenté sur chaque pull request, </w:t>
      </w:r>
      <w:r>
        <w:rPr>
          <w:rFonts w:ascii="Consolas" w:cs="Consolas" w:eastAsia="Consolas" w:hAnsi="Consolas"/>
          <w:color w:val="3B3F8F"/>
          <w:sz w:val="19"/>
          <w:szCs w:val="19"/>
        </w:rPr>
        <w:t xml:space="preserve">apply</w:t>
      </w:r>
      <w:r>
        <w:t xml:space="preserve"> après approbation.</w:t>
      </w:r>
    </w:p>
    <w:p>
      <w:pPr>
        <w:pStyle w:val="ListParagraph"/>
        <w:numPr>
          <w:ilvl w:val="0"/>
          <w:numId w:val="2"/>
        </w:numPr>
        <w:spacing w:after="60" w:line="276"/>
      </w:pPr>
      <w:r>
        <w:t xml:space="preserve">Le </w:t>
      </w:r>
      <w:r>
        <w:rPr>
          <w:rFonts w:ascii="Consolas" w:cs="Consolas" w:eastAsia="Consolas" w:hAnsi="Consolas"/>
          <w:color w:val="3B3F8F"/>
          <w:sz w:val="19"/>
          <w:szCs w:val="19"/>
        </w:rPr>
        <w:t xml:space="preserve">docker-compose.yml</w:t>
      </w:r>
      <w:r>
        <w:t xml:space="preserve"> reste l’IaC du PoC : déclaratif, reproductible, et relancé à l’identique en CI.</w:t>
      </w:r>
    </w:p>
    <w:p>
      <w:pPr>
        <w:pStyle w:val="Heading1"/>
        <w:pageBreakBefore/>
      </w:pPr>
      <w:r>
        <w:t xml:space="preserve">6. Structurer les environnements (Data Lake, bases vectorielles, conteneurs)</w:t>
      </w:r>
    </w:p>
    <w:p>
      <w:pPr>
        <w:pBdr>
          <w:left w:val="single" w:color="6C63FF" w:sz="24" w:space="8"/>
        </w:pBdr>
        <w:shd w:fill="EEF0FF" w:val="clear"/>
        <w:spacing w:after="180" w:before="120" w:line="276"/>
        <w:ind w:left="160" w:right="120"/>
      </w:pPr>
      <w:r>
        <w:rPr>
          <w:b/>
          <w:bCs/>
          <w:sz w:val="20"/>
          <w:szCs w:val="20"/>
        </w:rPr>
        <w:t xml:space="preserve">Compétence C5</w:t>
      </w:r>
      <w:r>
        <w:rPr>
          <w:sz w:val="20"/>
          <w:szCs w:val="20"/>
        </w:rPr>
        <w:t xml:space="preserve"> — structurer les environnements de données et d’exécution.</w:t>
      </w:r>
    </w:p>
    <w:p>
      <w:pPr>
        <w:pStyle w:val="Heading2"/>
      </w:pPr>
      <w:r>
        <w:t xml:space="preserve">Data Lake</w:t>
      </w:r>
    </w:p>
    <w:p>
      <w:pPr>
        <w:pStyle w:val="ListParagraph"/>
        <w:numPr>
          <w:ilvl w:val="0"/>
          <w:numId w:val="2"/>
        </w:numPr>
        <w:spacing w:after="60" w:line="276"/>
      </w:pPr>
      <w:r>
        <w:rPr>
          <w:b/>
          <w:bCs/>
        </w:rPr>
        <w:t xml:space="preserve">Codé</w:t>
      </w:r>
      <w:r>
        <w:t xml:space="preserve"> : bucket data lake S3 (</w:t>
      </w:r>
      <w:r>
        <w:rPr>
          <w:rFonts w:ascii="Consolas" w:cs="Consolas" w:eastAsia="Consolas" w:hAnsi="Consolas"/>
          <w:color w:val="3B3F8F"/>
          <w:sz w:val="19"/>
          <w:szCs w:val="19"/>
        </w:rPr>
        <w:t xml:space="preserve">terraform/modules/storage</w:t>
      </w:r>
      <w:r>
        <w:t xml:space="preserve">) chiffré SSE-KMS, versionné, TLS obligatoire, cycle de vie : préfixe </w:t>
      </w:r>
      <w:r>
        <w:rPr>
          <w:rFonts w:ascii="Consolas" w:cs="Consolas" w:eastAsia="Consolas" w:hAnsi="Consolas"/>
          <w:color w:val="3B3F8F"/>
          <w:sz w:val="19"/>
          <w:szCs w:val="19"/>
        </w:rPr>
        <w:t xml:space="preserve">archive/</w:t>
      </w:r>
      <w:r>
        <w:t xml:space="preserve"> en Standard-IA à 90 jours puis Glacier Instant Retrieval à 365 jours.</w:t>
      </w:r>
    </w:p>
    <w:p>
      <w:pPr>
        <w:pStyle w:val="ListParagraph"/>
        <w:numPr>
          <w:ilvl w:val="0"/>
          <w:numId w:val="2"/>
        </w:numPr>
        <w:spacing w:after="60" w:line="276"/>
      </w:pPr>
      <w:r>
        <w:rPr>
          <w:b/>
          <w:bCs/>
        </w:rPr>
        <w:t xml:space="preserve">Conçu</w:t>
      </w:r>
      <w:r>
        <w:t xml:space="preserve"> : zones </w:t>
      </w:r>
      <w:r>
        <w:rPr>
          <w:rFonts w:ascii="Consolas" w:cs="Consolas" w:eastAsia="Consolas" w:hAnsi="Consolas"/>
          <w:color w:val="3B3F8F"/>
          <w:sz w:val="19"/>
          <w:szCs w:val="19"/>
        </w:rPr>
        <w:t xml:space="preserve">raw/</w:t>
      </w:r>
      <w:r>
        <w:t xml:space="preserve"> (bronze), </w:t>
      </w:r>
      <w:r>
        <w:rPr>
          <w:rFonts w:ascii="Consolas" w:cs="Consolas" w:eastAsia="Consolas" w:hAnsi="Consolas"/>
          <w:color w:val="3B3F8F"/>
          <w:sz w:val="19"/>
          <w:szCs w:val="19"/>
        </w:rPr>
        <w:t xml:space="preserve">cleansed/</w:t>
      </w:r>
      <w:r>
        <w:t xml:space="preserve"> (silver), </w:t>
      </w:r>
      <w:r>
        <w:rPr>
          <w:rFonts w:ascii="Consolas" w:cs="Consolas" w:eastAsia="Consolas" w:hAnsi="Consolas"/>
          <w:color w:val="3B3F8F"/>
          <w:sz w:val="19"/>
          <w:szCs w:val="19"/>
        </w:rPr>
        <w:t xml:space="preserve">curated/</w:t>
      </w:r>
      <w:r>
        <w:t xml:space="preserve"> (gold) en Parquet et tables Iceberg cataloguées par AWS Glue ; archivage des faits de plus de deux ans.</w:t>
      </w:r>
    </w:p>
    <w:p>
      <w:pPr>
        <w:pStyle w:val="Heading2"/>
      </w:pPr>
      <w:r>
        <w:t xml:space="preserve">Bases vectorielles</w:t>
      </w:r>
    </w:p>
    <w:p>
      <w:pPr>
        <w:spacing w:after="140" w:line="288"/>
      </w:pPr>
      <w:r>
        <w:rPr>
          <w:b/>
          <w:bCs/>
        </w:rPr>
        <w:t xml:space="preserve">Conçu, non implémenté.</w:t>
      </w:r>
      <w:r>
        <w:t xml:space="preserve"> Cas d’usage identifiés : similarité entre transactions (fraude par analogie), recherche sémantique sur les contestations clients (</w:t>
      </w:r>
      <w:r>
        <w:rPr>
          <w:rFonts w:ascii="Consolas" w:cs="Consolas" w:eastAsia="Consolas" w:hAnsi="Consolas"/>
          <w:color w:val="3B3F8F"/>
          <w:sz w:val="19"/>
          <w:szCs w:val="19"/>
        </w:rPr>
        <w:t xml:space="preserve">customer_feedback</w:t>
      </w:r>
      <w:r>
        <w:t xml:space="preserve">), RAG sur la base de connaissances support. Choix envisagé : </w:t>
      </w:r>
      <w:r>
        <w:rPr>
          <w:b/>
          <w:bCs/>
        </w:rPr>
        <w:t xml:space="preserve">pgvector</w:t>
      </w:r>
      <w:r>
        <w:t xml:space="preserve"> sur RDS (index HNSW), pour éviter une base de plus tant que les volumes restent modérés ; OpenSearch k-NN au-delà de quelques dizaines de millions de vecteurs.</w:t>
      </w:r>
    </w:p>
    <w:p>
      <w:pPr>
        <w:pStyle w:val="Heading2"/>
      </w:pPr>
      <w:r>
        <w:t xml:space="preserve">Conteneurs et environnements</w:t>
      </w:r>
    </w:p>
    <w:p>
      <w:pPr>
        <w:pStyle w:val="ListParagraph"/>
        <w:numPr>
          <w:ilvl w:val="0"/>
          <w:numId w:val="2"/>
        </w:numPr>
        <w:spacing w:after="60" w:line="276"/>
      </w:pPr>
      <w:r>
        <w:rPr>
          <w:b/>
          <w:bCs/>
        </w:rPr>
        <w:t xml:space="preserve">Exécuté</w:t>
      </w:r>
      <w:r>
        <w:t xml:space="preserve"> : 8 services Docker Compose avec healthchecks, plus les profils optionnels </w:t>
      </w:r>
      <w:r>
        <w:rPr>
          <w:rFonts w:ascii="Consolas" w:cs="Consolas" w:eastAsia="Consolas" w:hAnsi="Consolas"/>
          <w:color w:val="3B3F8F"/>
          <w:sz w:val="19"/>
          <w:szCs w:val="19"/>
        </w:rPr>
        <w:t xml:space="preserve">flink</w:t>
      </w:r>
      <w:r>
        <w:t xml:space="preserve"> et </w:t>
      </w:r>
      <w:r>
        <w:rPr>
          <w:rFonts w:ascii="Consolas" w:cs="Consolas" w:eastAsia="Consolas" w:hAnsi="Consolas"/>
          <w:color w:val="3B3F8F"/>
          <w:sz w:val="19"/>
          <w:szCs w:val="19"/>
        </w:rPr>
        <w:t xml:space="preserve">airflow</w:t>
      </w:r>
      <w:r>
        <w:t xml:space="preserve"> ; images dédiées pour le dashboard, </w:t>
      </w:r>
      <w:r>
        <w:rPr>
          <w:rFonts w:ascii="Consolas" w:cs="Consolas" w:eastAsia="Consolas" w:hAnsi="Consolas"/>
          <w:color w:val="3B3F8F"/>
          <w:sz w:val="19"/>
          <w:szCs w:val="19"/>
        </w:rPr>
        <w:t xml:space="preserve">ml-monitor</w:t>
      </w:r>
      <w:r>
        <w:t xml:space="preserve"> et PyFlink.</w:t>
      </w:r>
    </w:p>
    <w:p>
      <w:pPr>
        <w:pStyle w:val="ListParagraph"/>
        <w:numPr>
          <w:ilvl w:val="0"/>
          <w:numId w:val="2"/>
        </w:numPr>
        <w:spacing w:after="60" w:line="276"/>
      </w:pPr>
      <w:r>
        <w:rPr>
          <w:b/>
          <w:bCs/>
        </w:rPr>
        <w:t xml:space="preserve">Codé</w:t>
      </w:r>
      <w:r>
        <w:t xml:space="preserve"> : ECR (tags immuables, scan CVE à chaque push), ECS Fargate ARM64, un groupe de logs par service.</w:t>
      </w:r>
    </w:p>
    <w:p>
      <w:pPr>
        <w:pStyle w:val="ListParagraph"/>
        <w:numPr>
          <w:ilvl w:val="0"/>
          <w:numId w:val="2"/>
        </w:numPr>
        <w:spacing w:after="60" w:line="276"/>
      </w:pPr>
      <w:r>
        <w:rPr>
          <w:b/>
          <w:bCs/>
        </w:rPr>
        <w:t xml:space="preserve">Environnements</w:t>
      </w:r>
      <w:r>
        <w:t xml:space="preserve"> : dev et prod séparés par VPC (10.20.0.0/16 et 10.30.0.0/16), state Terraform et tags ; </w:t>
      </w:r>
      <w:r>
        <w:rPr>
          <w:rFonts w:ascii="Consolas" w:cs="Consolas" w:eastAsia="Consolas" w:hAnsi="Consolas"/>
          <w:color w:val="3B3F8F"/>
          <w:sz w:val="19"/>
          <w:szCs w:val="19"/>
        </w:rPr>
        <w:t xml:space="preserve">.env</w:t>
      </w:r>
      <w:r>
        <w:t xml:space="preserve"> local jamais versionné.</w:t>
      </w:r>
    </w:p>
    <w:p>
      <w:pPr>
        <w:pStyle w:val="Heading1"/>
        <w:pageBreakBefore/>
      </w:pPr>
      <w:r>
        <w:t xml:space="preserve">7. Garantir la résilience et la haute disponibilité</w:t>
      </w:r>
    </w:p>
    <w:p>
      <w:pPr>
        <w:pBdr>
          <w:left w:val="single" w:color="6C63FF" w:sz="24" w:space="8"/>
        </w:pBdr>
        <w:shd w:fill="EEF0FF" w:val="clear"/>
        <w:spacing w:after="180" w:before="120" w:line="276"/>
        <w:ind w:left="160" w:right="120"/>
      </w:pPr>
      <w:r>
        <w:rPr>
          <w:b/>
          <w:bCs/>
          <w:sz w:val="20"/>
          <w:szCs w:val="20"/>
        </w:rPr>
        <w:t xml:space="preserve">Compétence C6</w:t>
      </w:r>
      <w:r>
        <w:rPr>
          <w:sz w:val="20"/>
          <w:szCs w:val="20"/>
        </w:rPr>
        <w:t xml:space="preserve"> — résilience, scalabilité, reprise.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3790"/>
        <w:gridCol w:w="3792"/>
      </w:tblGrid>
      <w:tr>
        <w:trPr>
          <w:tblHeader/>
        </w:trPr>
        <w:tc>
          <w:tcPr>
            <w:tcW w:type="dxa" w:w="1444"/>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Composant</w:t>
            </w:r>
          </w:p>
        </w:tc>
        <w:tc>
          <w:tcPr>
            <w:tcW w:type="dxa" w:w="379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PoC — exécuté</w:t>
            </w:r>
          </w:p>
        </w:tc>
        <w:tc>
          <w:tcPr>
            <w:tcW w:type="dxa" w:w="3792"/>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Cible — codée</w:t>
            </w:r>
          </w:p>
        </w:tc>
      </w:tr>
      <w:tr>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PostgreSQL</w:t>
            </w:r>
          </w:p>
        </w:tc>
        <w:tc>
          <w:tcPr>
            <w:tcW w:type="dxa" w:w="379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Clé d’idempotence ; write-back idempotent et atomique</w:t>
            </w:r>
          </w:p>
        </w:tc>
        <w:tc>
          <w:tcPr>
            <w:tcW w:type="dxa" w:w="379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Multi-AZ synchrone, réplica, sauvegardes 35 j, protection contre la suppression</w:t>
            </w:r>
          </w:p>
        </w:tc>
      </w:tr>
      <w:tr>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Kafka</w:t>
            </w:r>
          </w:p>
        </w:tc>
        <w:tc>
          <w:tcPr>
            <w:tcW w:type="dxa" w:w="379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 broker, facteur de réplication 1 (écart assumé)</w:t>
            </w:r>
          </w:p>
        </w:tc>
        <w:tc>
          <w:tcPr>
            <w:tcW w:type="dxa" w:w="379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 brokers / 3 AZ, RF 3, </w:t>
            </w:r>
            <w:r>
              <w:rPr>
                <w:rFonts w:ascii="Consolas" w:cs="Consolas" w:eastAsia="Consolas" w:hAnsi="Consolas"/>
                <w:color w:val="3B3F8F"/>
                <w:sz w:val="16"/>
                <w:szCs w:val="16"/>
              </w:rPr>
              <w:t xml:space="preserve">min.insync.replicas=2</w:t>
            </w:r>
            <w:r>
              <w:rPr>
                <w:sz w:val="18"/>
                <w:szCs w:val="18"/>
              </w:rPr>
              <w:t xml:space="preserve">, </w:t>
            </w:r>
            <w:r>
              <w:rPr>
                <w:rFonts w:ascii="Consolas" w:cs="Consolas" w:eastAsia="Consolas" w:hAnsi="Consolas"/>
                <w:color w:val="3B3F8F"/>
                <w:sz w:val="16"/>
                <w:szCs w:val="16"/>
              </w:rPr>
              <w:t xml:space="preserve">unclean.leader.election=false</w:t>
            </w:r>
          </w:p>
        </w:tc>
      </w:tr>
      <w:tr>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Scorer</w:t>
            </w:r>
          </w:p>
        </w:tc>
        <w:tc>
          <w:tcPr>
            <w:tcW w:type="dxa" w:w="379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DLQ, reconnexion limitée, arrêt propre, repli sur règles, reconstruction de la vélocité après perte de Redis</w:t>
            </w:r>
          </w:p>
        </w:tc>
        <w:tc>
          <w:tcPr>
            <w:tcW w:type="dxa" w:w="379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Plusieurs tâches Fargate, déploiement progressif avec retour arrière automatique</w:t>
            </w:r>
          </w:p>
        </w:tc>
      </w:tr>
      <w:tr>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Redis</w:t>
            </w:r>
          </w:p>
        </w:tc>
        <w:tc>
          <w:tcPr>
            <w:tcW w:type="dxa" w:w="379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Clés à TTL, reconstructibles depuis PostgreSQL</w:t>
            </w:r>
          </w:p>
        </w:tc>
        <w:tc>
          <w:tcPr>
            <w:tcW w:type="dxa" w:w="379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Primaire + réplica, bascule automatique</w:t>
            </w:r>
          </w:p>
        </w:tc>
      </w:tr>
      <w:tr>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MongoDB</w:t>
            </w:r>
          </w:p>
        </w:tc>
        <w:tc>
          <w:tcPr>
            <w:tcW w:type="dxa" w:w="379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Écritures en échec envoyées en DLQ</w:t>
            </w:r>
          </w:p>
        </w:tc>
        <w:tc>
          <w:tcPr>
            <w:tcW w:type="dxa" w:w="379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Replica set Atlas 3 nœuds, restauration à un instant donné</w:t>
            </w:r>
          </w:p>
        </w:tc>
      </w:tr>
      <w:tr>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Supervision</w:t>
            </w:r>
          </w:p>
        </w:tc>
        <w:tc>
          <w:tcPr>
            <w:tcW w:type="dxa" w:w="379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ml-monitor</w:t>
            </w:r>
            <w:r>
              <w:rPr>
                <w:sz w:val="18"/>
                <w:szCs w:val="18"/>
              </w:rPr>
              <w:t xml:space="preserve"> : dérive et précision servie</w:t>
            </w:r>
          </w:p>
        </w:tc>
        <w:tc>
          <w:tcPr>
            <w:tcW w:type="dxa" w:w="379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Alarmes CloudWatch (CPU RDS, retard du scorer) vers SNS</w:t>
            </w:r>
          </w:p>
        </w:tc>
      </w:tr>
    </w:tbl>
    <w:p>
      <w:pPr>
        <w:spacing w:after="120"/>
      </w:pPr>
    </w:p>
    <w:p>
      <w:pPr>
        <w:pStyle w:val="Heading2"/>
      </w:pPr>
      <w:r>
        <w:t xml:space="preserve">Incidents réels traités</w:t>
      </w:r>
    </w:p>
    <w:p>
      <w:pPr>
        <w:pStyle w:val="ListParagraph"/>
        <w:numPr>
          <w:ilvl w:val="0"/>
          <w:numId w:val="2"/>
        </w:numPr>
        <w:spacing w:after="60" w:line="276"/>
      </w:pPr>
      <w:r>
        <w:rPr>
          <w:b/>
          <w:bCs/>
        </w:rPr>
        <w:t xml:space="preserve">Double scoring par écho CDC</w:t>
      </w:r>
      <w:r>
        <w:t xml:space="preserve"> : la mise à jour du score repassait dans Kafka et était re-scorée ; corrigé par la condition </w:t>
      </w:r>
      <w:r>
        <w:rPr>
          <w:rFonts w:ascii="Consolas" w:cs="Consolas" w:eastAsia="Consolas" w:hAnsi="Consolas"/>
          <w:color w:val="3B3F8F"/>
          <w:sz w:val="19"/>
          <w:szCs w:val="19"/>
        </w:rPr>
        <w:t xml:space="preserve">fraud_score IS NULL</w:t>
      </w:r>
      <w:r>
        <w:t xml:space="preserve"> (précision servie passée de 29 % à 97 %).</w:t>
      </w:r>
    </w:p>
    <w:p>
      <w:pPr>
        <w:pStyle w:val="ListParagraph"/>
        <w:numPr>
          <w:ilvl w:val="0"/>
          <w:numId w:val="2"/>
        </w:numPr>
        <w:spacing w:after="60" w:line="276"/>
      </w:pPr>
      <w:r>
        <w:rPr>
          <w:b/>
          <w:bCs/>
        </w:rPr>
        <w:t xml:space="preserve">Reset de Redis</w:t>
      </w:r>
      <w:r>
        <w:t xml:space="preserve"> : tous les clients paraissaient nouveaux, d’où une salve de faux positifs ; corrigé par la reconstruction de la vélocité depuis PostgreSQL.</w:t>
      </w:r>
    </w:p>
    <w:p>
      <w:pPr>
        <w:pStyle w:val="ListParagraph"/>
        <w:numPr>
          <w:ilvl w:val="0"/>
          <w:numId w:val="2"/>
        </w:numPr>
        <w:spacing w:after="60" w:line="276"/>
      </w:pPr>
      <w:r>
        <w:rPr>
          <w:b/>
          <w:bCs/>
        </w:rPr>
        <w:t xml:space="preserve">Réentraînement automatique</w:t>
      </w:r>
      <w:r>
        <w:t xml:space="preserve"> : précision offline tombée à 0,77 alors que la précision servie restait à 0,98 ; conclusion : juger un modèle sur les deux mesures. Post-mortems dans </w:t>
      </w:r>
      <w:r>
        <w:rPr>
          <w:rFonts w:ascii="Consolas" w:cs="Consolas" w:eastAsia="Consolas" w:hAnsi="Consolas"/>
          <w:color w:val="3B3F8F"/>
          <w:sz w:val="19"/>
          <w:szCs w:val="19"/>
        </w:rPr>
        <w:t xml:space="preserve">docs/MLOPS.md</w:t>
      </w:r>
      <w:r>
        <w:t xml:space="preserve">.</w:t>
      </w:r>
    </w:p>
    <w:p>
      <w:pPr>
        <w:spacing w:after="140" w:line="288"/>
      </w:pPr>
      <w:r>
        <w:rPr>
          <w:b/>
          <w:bCs/>
        </w:rPr>
        <w:t xml:space="preserve">Conçu</w:t>
      </w:r>
      <w:r>
        <w:t xml:space="preserve"> : reprise après sinistre inter-régions (réplica RDS dans une seconde région, MirrorMaker 2 pour Kafka), objectifs RPO de 5 minutes et RTO d’une heure.</w:t>
      </w:r>
    </w:p>
    <w:p>
      <w:pPr>
        <w:pStyle w:val="Heading1"/>
        <w:pageBreakBefore/>
      </w:pPr>
      <w:r>
        <w:t xml:space="preserve">8. Mettre en place la sécurité</w:t>
      </w:r>
    </w:p>
    <w:p>
      <w:pPr>
        <w:pBdr>
          <w:left w:val="single" w:color="6C63FF" w:sz="24" w:space="8"/>
        </w:pBdr>
        <w:shd w:fill="EEF0FF" w:val="clear"/>
        <w:spacing w:after="180" w:before="120" w:line="276"/>
        <w:ind w:left="160" w:right="120"/>
      </w:pPr>
      <w:r>
        <w:rPr>
          <w:b/>
          <w:bCs/>
          <w:sz w:val="20"/>
          <w:szCs w:val="20"/>
        </w:rPr>
        <w:t xml:space="preserve">Compétence C7</w:t>
      </w:r>
      <w:r>
        <w:rPr>
          <w:sz w:val="20"/>
          <w:szCs w:val="20"/>
        </w:rPr>
        <w:t xml:space="preserve"> — IAM, chiffrement, gestion des secrets.</w:t>
      </w:r>
    </w:p>
    <w:p>
      <w:pPr>
        <w:pStyle w:val="Heading2"/>
      </w:pPr>
      <w:r>
        <w:t xml:space="preserve">IAM et contrôle d’accès</w:t>
      </w:r>
    </w:p>
    <w:p>
      <w:pPr>
        <w:pStyle w:val="ListParagraph"/>
        <w:numPr>
          <w:ilvl w:val="0"/>
          <w:numId w:val="2"/>
        </w:numPr>
        <w:spacing w:after="60" w:line="276"/>
      </w:pPr>
      <w:r>
        <w:rPr>
          <w:b/>
          <w:bCs/>
        </w:rPr>
        <w:t xml:space="preserve">Exécuté</w:t>
      </w:r>
      <w:r>
        <w:t xml:space="preserve"> : </w:t>
      </w:r>
      <w:r>
        <w:rPr>
          <w:rFonts w:ascii="Consolas" w:cs="Consolas" w:eastAsia="Consolas" w:hAnsi="Consolas"/>
          <w:color w:val="3B3F8F"/>
          <w:sz w:val="19"/>
          <w:szCs w:val="19"/>
        </w:rPr>
        <w:t xml:space="preserve">replication_user</w:t>
      </w:r>
      <w:r>
        <w:t xml:space="preserve"> (lecture seule, pour Debezium), </w:t>
      </w:r>
      <w:r>
        <w:rPr>
          <w:rFonts w:ascii="Consolas" w:cs="Consolas" w:eastAsia="Consolas" w:hAnsi="Consolas"/>
          <w:color w:val="3B3F8F"/>
          <w:sz w:val="19"/>
          <w:szCs w:val="19"/>
        </w:rPr>
        <w:t xml:space="preserve">analytics_reader</w:t>
      </w:r>
      <w:r>
        <w:t xml:space="preserve"> (lecture sans la colonne </w:t>
      </w:r>
      <w:r>
        <w:rPr>
          <w:rFonts w:ascii="Consolas" w:cs="Consolas" w:eastAsia="Consolas" w:hAnsi="Consolas"/>
          <w:color w:val="3B3F8F"/>
          <w:sz w:val="19"/>
          <w:szCs w:val="19"/>
        </w:rPr>
        <w:t xml:space="preserve">fingerprint</w:t>
      </w:r>
      <w:r>
        <w:t xml:space="preserve">, accordée colonne par colonne), utilisateur MongoDB </w:t>
      </w:r>
      <w:r>
        <w:rPr>
          <w:rFonts w:ascii="Consolas" w:cs="Consolas" w:eastAsia="Consolas" w:hAnsi="Consolas"/>
          <w:color w:val="3B3F8F"/>
          <w:sz w:val="19"/>
          <w:szCs w:val="19"/>
        </w:rPr>
        <w:t xml:space="preserve">stripe_app</w:t>
      </w:r>
      <w:r>
        <w:t xml:space="preserve"> limité à </w:t>
      </w:r>
      <w:r>
        <w:rPr>
          <w:rFonts w:ascii="Consolas" w:cs="Consolas" w:eastAsia="Consolas" w:hAnsi="Consolas"/>
          <w:color w:val="3B3F8F"/>
          <w:sz w:val="19"/>
          <w:szCs w:val="19"/>
        </w:rPr>
        <w:t xml:space="preserve">readWrite</w:t>
      </w:r>
      <w:r>
        <w:t xml:space="preserve"> sur </w:t>
      </w:r>
      <w:r>
        <w:rPr>
          <w:rFonts w:ascii="Consolas" w:cs="Consolas" w:eastAsia="Consolas" w:hAnsi="Consolas"/>
          <w:color w:val="3B3F8F"/>
          <w:sz w:val="19"/>
          <w:szCs w:val="19"/>
        </w:rPr>
        <w:t xml:space="preserve">stripe_nosql</w:t>
      </w:r>
      <w:r>
        <w:t xml:space="preserve">, dashboard protégé par login (hash SHA-256, blocage après échecs).</w:t>
      </w:r>
    </w:p>
    <w:p>
      <w:pPr>
        <w:pStyle w:val="ListParagraph"/>
        <w:numPr>
          <w:ilvl w:val="0"/>
          <w:numId w:val="2"/>
        </w:numPr>
        <w:spacing w:after="60" w:line="276"/>
      </w:pPr>
      <w:r>
        <w:rPr>
          <w:b/>
          <w:bCs/>
        </w:rPr>
        <w:t xml:space="preserve">Codé</w:t>
      </w:r>
      <w:r>
        <w:t xml:space="preserve"> : rôle d’exécution ECS (images, logs, secrets) distinct du rôle de tâche (topics </w:t>
      </w:r>
      <w:r>
        <w:rPr>
          <w:rFonts w:ascii="Consolas" w:cs="Consolas" w:eastAsia="Consolas" w:hAnsi="Consolas"/>
          <w:color w:val="3B3F8F"/>
          <w:sz w:val="19"/>
          <w:szCs w:val="19"/>
        </w:rPr>
        <w:t xml:space="preserve">stripe.*</w:t>
      </w:r>
      <w:r>
        <w:t xml:space="preserve">, bucket data lake, clé KMS) ; security group par base n’acceptant que le groupe applicatif.</w:t>
      </w:r>
    </w:p>
    <w:p>
      <w:pPr>
        <w:pStyle w:val="Heading2"/>
      </w:pPr>
      <w:r>
        <w:t xml:space="preserve">Chiffrement</w:t>
      </w:r>
    </w:p>
    <w:p>
      <w:pPr>
        <w:pStyle w:val="ListParagraph"/>
        <w:numPr>
          <w:ilvl w:val="0"/>
          <w:numId w:val="2"/>
        </w:numPr>
        <w:spacing w:after="60" w:line="276"/>
      </w:pPr>
      <w:r>
        <w:rPr>
          <w:b/>
          <w:bCs/>
        </w:rPr>
        <w:t xml:space="preserve">Codé</w:t>
      </w:r>
      <w:r>
        <w:t xml:space="preserve"> : une CMK KMS à rotation annuelle pour RDS, MSK, ElastiCache, S3, CloudWatch, ECR et Secrets Manager ; TLS forcé sur RDS, MSK, Redis et S3.</w:t>
      </w:r>
    </w:p>
    <w:p>
      <w:pPr>
        <w:pStyle w:val="ListParagraph"/>
        <w:numPr>
          <w:ilvl w:val="0"/>
          <w:numId w:val="2"/>
        </w:numPr>
        <w:spacing w:after="60" w:line="276"/>
      </w:pPr>
      <w:r>
        <w:rPr>
          <w:b/>
          <w:bCs/>
        </w:rPr>
        <w:t xml:space="preserve">Exécuté</w:t>
      </w:r>
      <w:r>
        <w:t xml:space="preserve"> : aucun numéro de carte stocké, empreinte pseudonymisée ; </w:t>
      </w:r>
      <w:r>
        <w:rPr>
          <w:rFonts w:ascii="Consolas" w:cs="Consolas" w:eastAsia="Consolas" w:hAnsi="Consolas"/>
          <w:color w:val="3B3F8F"/>
          <w:sz w:val="19"/>
          <w:szCs w:val="19"/>
        </w:rPr>
        <w:t xml:space="preserve">pgcrypto</w:t>
      </w:r>
      <w:r>
        <w:t xml:space="preserve"> activé.</w:t>
      </w:r>
    </w:p>
    <w:p>
      <w:pPr>
        <w:pStyle w:val="ListParagraph"/>
        <w:numPr>
          <w:ilvl w:val="0"/>
          <w:numId w:val="2"/>
        </w:numPr>
        <w:spacing w:after="60" w:line="276"/>
      </w:pPr>
      <w:r>
        <w:rPr>
          <w:b/>
          <w:bCs/>
        </w:rPr>
        <w:t xml:space="preserve">Écart assumé du PoC</w:t>
      </w:r>
      <w:r>
        <w:t xml:space="preserve"> : TLS désactivé entre conteneurs locaux, documenté dans </w:t>
      </w:r>
      <w:r>
        <w:rPr>
          <w:rFonts w:ascii="Consolas" w:cs="Consolas" w:eastAsia="Consolas" w:hAnsi="Consolas"/>
          <w:color w:val="3B3F8F"/>
          <w:sz w:val="19"/>
          <w:szCs w:val="19"/>
        </w:rPr>
        <w:t xml:space="preserve">docs/SECURITY_COMPLIANCE_PLAN.md</w:t>
      </w:r>
      <w:r>
        <w:t xml:space="preserve">.</w:t>
      </w:r>
    </w:p>
    <w:p>
      <w:pPr>
        <w:pStyle w:val="Heading2"/>
      </w:pPr>
      <w:r>
        <w:t xml:space="preserve">Gestion des secrets</w:t>
      </w:r>
    </w:p>
    <w:p>
      <w:pPr>
        <w:pStyle w:val="ListParagraph"/>
        <w:numPr>
          <w:ilvl w:val="0"/>
          <w:numId w:val="2"/>
        </w:numPr>
        <w:spacing w:after="60" w:line="276"/>
      </w:pPr>
      <w:r>
        <w:rPr>
          <w:b/>
          <w:bCs/>
        </w:rPr>
        <w:t xml:space="preserve">Exécuté</w:t>
      </w:r>
      <w:r>
        <w:t xml:space="preserve"> : </w:t>
      </w:r>
      <w:r>
        <w:rPr>
          <w:rFonts w:ascii="Consolas" w:cs="Consolas" w:eastAsia="Consolas" w:hAnsi="Consolas"/>
          <w:color w:val="3B3F8F"/>
          <w:sz w:val="19"/>
          <w:szCs w:val="19"/>
        </w:rPr>
        <w:t xml:space="preserve">scripts/init_env.sh</w:t>
      </w:r>
      <w:r>
        <w:t xml:space="preserve"> génère des mots de passe aléatoires dans </w:t>
      </w:r>
      <w:r>
        <w:rPr>
          <w:rFonts w:ascii="Consolas" w:cs="Consolas" w:eastAsia="Consolas" w:hAnsi="Consolas"/>
          <w:color w:val="3B3F8F"/>
          <w:sz w:val="19"/>
          <w:szCs w:val="19"/>
        </w:rPr>
        <w:t xml:space="preserve">.env</w:t>
      </w:r>
      <w:r>
        <w:t xml:space="preserve">, exclu de Git ; </w:t>
      </w:r>
      <w:r>
        <w:rPr>
          <w:rFonts w:ascii="Consolas" w:cs="Consolas" w:eastAsia="Consolas" w:hAnsi="Consolas"/>
          <w:color w:val="3B3F8F"/>
          <w:sz w:val="19"/>
          <w:szCs w:val="19"/>
        </w:rPr>
        <w:t xml:space="preserve">.env.example</w:t>
      </w:r>
      <w:r>
        <w:t xml:space="preserve"> sans valeur.</w:t>
      </w:r>
    </w:p>
    <w:p>
      <w:pPr>
        <w:pStyle w:val="ListParagraph"/>
        <w:numPr>
          <w:ilvl w:val="0"/>
          <w:numId w:val="2"/>
        </w:numPr>
        <w:spacing w:after="60" w:line="276"/>
      </w:pPr>
      <w:r>
        <w:rPr>
          <w:b/>
          <w:bCs/>
        </w:rPr>
        <w:t xml:space="preserve">Codé</w:t>
      </w:r>
      <w:r>
        <w:t xml:space="preserve"> : Secrets Manager, injection des secrets dans les tâches ECS au démarrage (jamais dans la définition de tâche), mot de passe maître RDS géré et tourné par RDS, Kafka en IAM.</w:t>
      </w:r>
    </w:p>
    <w:p>
      <w:pPr>
        <w:pStyle w:val="Heading2"/>
      </w:pPr>
      <w:r>
        <w:t xml:space="preserve">Audit et conformité</w:t>
      </w:r>
    </w:p>
    <w:p>
      <w:pPr>
        <w:pStyle w:val="ListParagraph"/>
        <w:numPr>
          <w:ilvl w:val="0"/>
          <w:numId w:val="2"/>
        </w:numPr>
        <w:spacing w:after="60" w:line="276"/>
      </w:pPr>
      <w:r>
        <w:t xml:space="preserve">RGPD : </w:t>
      </w:r>
      <w:r>
        <w:rPr>
          <w:rFonts w:ascii="Consolas" w:cs="Consolas" w:eastAsia="Consolas" w:hAnsi="Consolas"/>
          <w:color w:val="3B3F8F"/>
          <w:sz w:val="19"/>
          <w:szCs w:val="19"/>
        </w:rPr>
        <w:t xml:space="preserve">anonymize_customer()</w:t>
      </w:r>
      <w:r>
        <w:t xml:space="preserve"> (</w:t>
      </w:r>
      <w:r>
        <w:rPr>
          <w:rFonts w:ascii="Consolas" w:cs="Consolas" w:eastAsia="Consolas" w:hAnsi="Consolas"/>
          <w:color w:val="3B3F8F"/>
          <w:sz w:val="19"/>
          <w:szCs w:val="19"/>
        </w:rPr>
        <w:t xml:space="preserve">init/postgres/02_rgpd.sql</w:t>
      </w:r>
      <w:r>
        <w:t xml:space="preserve">), TTL MongoDB de 90 et 30 jours, hébergement en </w:t>
      </w:r>
      <w:r>
        <w:rPr>
          <w:rFonts w:ascii="Consolas" w:cs="Consolas" w:eastAsia="Consolas" w:hAnsi="Consolas"/>
          <w:color w:val="3B3F8F"/>
          <w:sz w:val="19"/>
          <w:szCs w:val="19"/>
        </w:rPr>
        <w:t xml:space="preserve">eu-west-1</w:t>
      </w:r>
      <w:r>
        <w:t xml:space="preserve">.</w:t>
      </w:r>
    </w:p>
    <w:p>
      <w:pPr>
        <w:pStyle w:val="ListParagraph"/>
        <w:numPr>
          <w:ilvl w:val="0"/>
          <w:numId w:val="2"/>
        </w:numPr>
        <w:spacing w:after="60" w:line="276"/>
      </w:pPr>
      <w:r>
        <w:t xml:space="preserve">Traçabilité : </w:t>
      </w:r>
      <w:r>
        <w:rPr>
          <w:rFonts w:ascii="Consolas" w:cs="Consolas" w:eastAsia="Consolas" w:hAnsi="Consolas"/>
          <w:color w:val="3B3F8F"/>
          <w:sz w:val="19"/>
          <w:szCs w:val="19"/>
        </w:rPr>
        <w:t xml:space="preserve">fraud_indicators</w:t>
      </w:r>
      <w:r>
        <w:t xml:space="preserve"> conserve chaque décision de blocage avec la version du modèle ; VPC Flow Logs 365 jours en cible.</w:t>
      </w:r>
    </w:p>
    <w:p>
      <w:pPr>
        <w:pStyle w:val="Heading1"/>
        <w:pageBreakBefore/>
      </w:pPr>
      <w:r>
        <w:t xml:space="preserve">9. Piloter l’efficience (FinOps / GreenOps)</w:t>
      </w:r>
    </w:p>
    <w:p>
      <w:pPr>
        <w:pBdr>
          <w:left w:val="single" w:color="2E7D32" w:sz="24" w:space="8"/>
        </w:pBdr>
        <w:shd w:fill="EAF7EF" w:val="clear"/>
        <w:spacing w:after="180" w:before="120" w:line="276"/>
        <w:ind w:left="160" w:right="120"/>
      </w:pPr>
      <w:r>
        <w:rPr>
          <w:b/>
          <w:bCs/>
          <w:sz w:val="20"/>
          <w:szCs w:val="20"/>
        </w:rPr>
        <w:t xml:space="preserve">Compétence C8</w:t>
      </w:r>
      <w:r>
        <w:rPr>
          <w:sz w:val="20"/>
          <w:szCs w:val="20"/>
        </w:rPr>
        <w:t xml:space="preserve"> — piloter les coûts et l’empreinte. </w:t>
      </w:r>
      <w:r>
        <w:rPr>
          <w:b/>
          <w:bCs/>
          <w:sz w:val="20"/>
          <w:szCs w:val="20"/>
        </w:rPr>
        <w:t xml:space="preserve">Preuve : `docs/FINOPS.md` et budgets dans `terraform/stack/main.tf`.</w:t>
      </w:r>
    </w:p>
    <w:p>
      <w:pPr>
        <w:pStyle w:val="Heading2"/>
      </w:pPr>
      <w:r>
        <w:t xml:space="preserve">Chiffrage mensuel (prix publics à la demande, eu-west-1)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54"/>
        <w:gridCol w:w="1985"/>
        <w:gridCol w:w="1987"/>
      </w:tblGrid>
      <w:tr>
        <w:trPr>
          <w:tblHeader/>
        </w:trPr>
        <w:tc>
          <w:tcPr>
            <w:tcW w:type="dxa" w:w="5054"/>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Poste</w:t>
            </w:r>
          </w:p>
        </w:tc>
        <w:tc>
          <w:tcPr>
            <w:tcW w:type="dxa" w:w="198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Prod</w:t>
            </w:r>
          </w:p>
        </w:tc>
        <w:tc>
          <w:tcPr>
            <w:tcW w:type="dxa" w:w="198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Dev</w:t>
            </w:r>
          </w:p>
        </w:tc>
      </w:tr>
      <w:tr>
        <w:tc>
          <w:tcPr>
            <w:tcW w:type="dxa" w:w="505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RDS PostgreSQL</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~620 $</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~65 $</w:t>
            </w:r>
          </w:p>
        </w:tc>
      </w:tr>
      <w:tr>
        <w:tc>
          <w:tcPr>
            <w:tcW w:type="dxa" w:w="505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MSK</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~610 $</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~265 $</w:t>
            </w:r>
          </w:p>
        </w:tc>
      </w:tr>
      <w:tr>
        <w:tc>
          <w:tcPr>
            <w:tcW w:type="dxa" w:w="505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ElastiCache</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~350 $</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~25 $</w:t>
            </w:r>
          </w:p>
        </w:tc>
      </w:tr>
      <w:tr>
        <w:tc>
          <w:tcPr>
            <w:tcW w:type="dxa" w:w="505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MongoDB Atlas</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~450 $</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~60 $</w:t>
            </w:r>
          </w:p>
        </w:tc>
      </w:tr>
      <w:tr>
        <w:tc>
          <w:tcPr>
            <w:tcW w:type="dxa" w:w="505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MWAA</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~380 $</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~380 $</w:t>
            </w:r>
          </w:p>
        </w:tc>
      </w:tr>
      <w:tr>
        <w:tc>
          <w:tcPr>
            <w:tcW w:type="dxa" w:w="505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ECS Fargate</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~145 $</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~90 $</w:t>
            </w:r>
          </w:p>
        </w:tc>
      </w:tr>
      <w:tr>
        <w:tc>
          <w:tcPr>
            <w:tcW w:type="dxa" w:w="505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Réseau (NAT, PrivateLink, inter-AZ)</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~180 $</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inclus ci-dessous</w:t>
            </w:r>
          </w:p>
        </w:tc>
      </w:tr>
      <w:tr>
        <w:tc>
          <w:tcPr>
            <w:tcW w:type="dxa" w:w="505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Observabilité, S3, KMS, secrets, Snowflake</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~365 $</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~120 $</w:t>
            </w:r>
          </w:p>
        </w:tc>
      </w:tr>
      <w:tr>
        <w:tc>
          <w:tcPr>
            <w:tcW w:type="dxa" w:w="505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b/>
                <w:bCs/>
                <w:sz w:val="18"/>
                <w:szCs w:val="18"/>
              </w:rPr>
              <w:t xml:space="preserve">Total</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b/>
                <w:bCs/>
                <w:sz w:val="18"/>
                <w:szCs w:val="18"/>
              </w:rPr>
              <w:t xml:space="preserve">~3 100 $</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b/>
                <w:bCs/>
                <w:sz w:val="18"/>
                <w:szCs w:val="18"/>
              </w:rPr>
              <w:t xml:space="preserve">~1 000 $</w:t>
            </w:r>
          </w:p>
        </w:tc>
      </w:tr>
      <w:tr>
        <w:tc>
          <w:tcPr>
            <w:tcW w:type="dxa" w:w="505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Budget Terraform (alertes 80 % réel, 100 % prévisionnel)</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4 000 $</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1 200 $</w:t>
            </w:r>
          </w:p>
        </w:tc>
      </w:tr>
    </w:tbl>
    <w:p>
      <w:pPr>
        <w:spacing w:after="120"/>
      </w:pPr>
    </w:p>
    <w:p>
      <w:pPr>
        <w:pStyle w:val="Heading2"/>
      </w:pPr>
      <w:r>
        <w:t xml:space="preserve">Leviers chiffrés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971"/>
        <w:gridCol w:w="2707"/>
        <w:gridCol w:w="2348"/>
      </w:tblGrid>
      <w:tr>
        <w:trPr>
          <w:tblHeader/>
        </w:trPr>
        <w:tc>
          <w:tcPr>
            <w:tcW w:type="dxa" w:w="3971"/>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Levier</w:t>
            </w:r>
          </w:p>
        </w:tc>
        <w:tc>
          <w:tcPr>
            <w:tcW w:type="dxa" w:w="270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Économie</w:t>
            </w:r>
          </w:p>
        </w:tc>
        <w:tc>
          <w:tcPr>
            <w:tcW w:type="dxa" w:w="2348"/>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Contrepartie</w:t>
            </w:r>
          </w:p>
        </w:tc>
      </w:tr>
      <w:tr>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Remplacer MWAA par EventBridge + tâche ECS (un seul DAG)</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~350 $/mois par environnement</w:t>
            </w:r>
          </w:p>
        </w:tc>
        <w:tc>
          <w:tcPr>
            <w:tcW w:type="dxa" w:w="234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Perte de l’interface et des reprises Airflow</w:t>
            </w:r>
          </w:p>
        </w:tc>
      </w:tr>
      <w:tr>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Engagements 1 an (RDS, ElastiCache, Savings Plan Fargate)</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~330 $/mois en prod</w:t>
            </w:r>
          </w:p>
        </w:tc>
        <w:tc>
          <w:tcPr>
            <w:tcW w:type="dxa" w:w="234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Engagement ferme</w:t>
            </w:r>
          </w:p>
        </w:tc>
      </w:tr>
      <w:tr>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Arrêt du dev la nuit et le week-end</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~200 $/mois</w:t>
            </w:r>
          </w:p>
        </w:tc>
        <w:tc>
          <w:tcPr>
            <w:tcW w:type="dxa" w:w="234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Environnement indisponible hors heures</w:t>
            </w:r>
          </w:p>
        </w:tc>
      </w:tr>
      <w:tr>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Volumes MSK de dev à 100 Go</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~130 $/mois</w:t>
            </w:r>
          </w:p>
        </w:tc>
        <w:tc>
          <w:tcPr>
            <w:tcW w:type="dxa" w:w="234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Rétention plus courte</w:t>
            </w:r>
          </w:p>
        </w:tc>
      </w:tr>
      <w:tr>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Snowflake : auto-suspend 60 s + resource monitor</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Évite une dérive (~1 900 $/mois pour un warehouse oublié)</w:t>
            </w:r>
          </w:p>
        </w:tc>
        <w:tc>
          <w:tcPr>
            <w:tcW w:type="dxa" w:w="234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Premier appel plus lent</w:t>
            </w:r>
          </w:p>
        </w:tc>
      </w:tr>
    </w:tbl>
    <w:p>
      <w:pPr>
        <w:spacing w:after="120"/>
      </w:pPr>
    </w:p>
    <w:p>
      <w:pPr>
        <w:spacing w:after="140" w:line="288"/>
      </w:pPr>
      <w:r>
        <w:t xml:space="preserve">Avec les trois premiers leviers : environ 2 400 $/mois en prod et 450 $ en dev.</w:t>
      </w:r>
    </w:p>
    <w:p>
      <w:pPr>
        <w:pStyle w:val="Heading2"/>
      </w:pPr>
      <w:r>
        <w:t xml:space="preserve">GreenOps</w:t>
      </w:r>
    </w:p>
    <w:p>
      <w:pPr>
        <w:pStyle w:val="ListParagraph"/>
        <w:numPr>
          <w:ilvl w:val="0"/>
          <w:numId w:val="2"/>
        </w:numPr>
        <w:spacing w:after="60" w:line="276"/>
      </w:pPr>
      <w:r>
        <w:t xml:space="preserve">Graviton (ARM64) pour RDS, MSK, ElastiCache et Fargate : moins d’énergie à performance égale, et même architecture que le poste de développement.</w:t>
      </w:r>
    </w:p>
    <w:p>
      <w:pPr>
        <w:pStyle w:val="ListParagraph"/>
        <w:numPr>
          <w:ilvl w:val="0"/>
          <w:numId w:val="2"/>
        </w:numPr>
        <w:spacing w:after="60" w:line="276"/>
      </w:pPr>
      <w:r>
        <w:t xml:space="preserve">Pas de ressource inactive : arrêt nocturne en dev, auto-suspend Snowflake.</w:t>
      </w:r>
    </w:p>
    <w:p>
      <w:pPr>
        <w:pStyle w:val="ListParagraph"/>
        <w:numPr>
          <w:ilvl w:val="0"/>
          <w:numId w:val="2"/>
        </w:numPr>
        <w:spacing w:after="60" w:line="276"/>
      </w:pPr>
      <w:r>
        <w:t xml:space="preserve">Données froides en classes de stockage à faible empreinte ; TTL MongoDB plutôt que conservation indéfinie.</w:t>
      </w:r>
    </w:p>
    <w:p>
      <w:pPr>
        <w:pStyle w:val="ListParagraph"/>
        <w:numPr>
          <w:ilvl w:val="0"/>
          <w:numId w:val="2"/>
        </w:numPr>
        <w:spacing w:after="60" w:line="276"/>
      </w:pPr>
      <w:r>
        <w:t xml:space="preserve">Région : </w:t>
      </w:r>
      <w:r>
        <w:rPr>
          <w:rFonts w:ascii="Consolas" w:cs="Consolas" w:eastAsia="Consolas" w:hAnsi="Consolas"/>
          <w:color w:val="3B3F8F"/>
          <w:sz w:val="19"/>
          <w:szCs w:val="19"/>
        </w:rPr>
        <w:t xml:space="preserve">eu-west-1</w:t>
      </w:r>
      <w:r>
        <w:t xml:space="preserve"> pour la latence et la disponibilité des services ; </w:t>
      </w:r>
      <w:r>
        <w:rPr>
          <w:rFonts w:ascii="Consolas" w:cs="Consolas" w:eastAsia="Consolas" w:hAnsi="Consolas"/>
          <w:color w:val="3B3F8F"/>
          <w:sz w:val="19"/>
          <w:szCs w:val="19"/>
        </w:rPr>
        <w:t xml:space="preserve">eu-north-1</w:t>
      </w:r>
      <w:r>
        <w:t xml:space="preserve">, moins carbonée, à évaluer. Mesure via AWS Customer Carbon Footprint Tool.</w:t>
      </w:r>
    </w:p>
    <w:p>
      <w:pPr>
        <w:pStyle w:val="ListParagraph"/>
        <w:numPr>
          <w:ilvl w:val="0"/>
          <w:numId w:val="2"/>
        </w:numPr>
        <w:spacing w:after="60" w:line="276"/>
      </w:pPr>
      <w:r>
        <w:t xml:space="preserve">Le PoC sur une seule machine est lui-même une démarche sobre : prouver l’architecture avant d’engager de l’infrastructure.</w:t>
      </w:r>
    </w:p>
    <w:p>
      <w:pPr>
        <w:pStyle w:val="Heading1"/>
        <w:pageBreakBefore/>
      </w:pPr>
      <w:r>
        <w:t xml:space="preserve">10. Documenter et coordonner les équipes techniques</w:t>
      </w:r>
    </w:p>
    <w:p>
      <w:pPr>
        <w:pBdr>
          <w:left w:val="single" w:color="6C63FF" w:sz="24" w:space="8"/>
        </w:pBdr>
        <w:shd w:fill="EEF0FF" w:val="clear"/>
        <w:spacing w:after="180" w:before="120" w:line="276"/>
        <w:ind w:left="160" w:right="120"/>
      </w:pPr>
      <w:r>
        <w:rPr>
          <w:b/>
          <w:bCs/>
          <w:sz w:val="20"/>
          <w:szCs w:val="20"/>
        </w:rPr>
        <w:t xml:space="preserve">Compétence C9</w:t>
      </w:r>
      <w:r>
        <w:rPr>
          <w:sz w:val="20"/>
          <w:szCs w:val="20"/>
        </w:rPr>
        <w:t xml:space="preserve"> — documenter et coordonner.</w:t>
      </w:r>
    </w:p>
    <w:p>
      <w:pPr>
        <w:pStyle w:val="Heading2"/>
      </w:pPr>
      <w:r>
        <w:t xml:space="preserve">Documentation produite (toute dans le dépôt)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8"/>
        <w:gridCol w:w="1805"/>
        <w:gridCol w:w="4153"/>
      </w:tblGrid>
      <w:tr>
        <w:trPr>
          <w:tblHeader/>
        </w:trPr>
        <w:tc>
          <w:tcPr>
            <w:tcW w:type="dxa" w:w="3068"/>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Document</w:t>
            </w:r>
          </w:p>
        </w:tc>
        <w:tc>
          <w:tcPr>
            <w:tcW w:type="dxa" w:w="180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Public</w:t>
            </w:r>
          </w:p>
        </w:tc>
        <w:tc>
          <w:tcPr>
            <w:tcW w:type="dxa" w:w="4153"/>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README.md</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Tout nouvel arrivant</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Démarrage en une commande, démo, commandes utiles, Terraform, requêtes, Snowflake payant</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docs/ARCHITECTURE.md</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Développeurs</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Documentation technique complète, fichier par fichier</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docs/FILE_FUNCTION_INDEX.md</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Développeurs</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Chaque fichier, ses fonctions et la source des données qu’il lit</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docs/PRESENTATION.md</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Jury, décideurs</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Justification des choix, métriques</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docs/SECURITY_COMPLIANCE_PLAN.md</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Sécurité, DPO</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PCI-DSS, RGPD, écarts assumés, traduction en Terraform</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docs/ML_INTEGRATION_STRATEGY.md</w:t>
            </w:r>
            <w:r>
              <w:rPr>
                <w:sz w:val="18"/>
                <w:szCs w:val="18"/>
              </w:rPr>
              <w:t xml:space="preserve">, </w:t>
            </w:r>
            <w:r>
              <w:rPr>
                <w:rFonts w:ascii="Consolas" w:cs="Consolas" w:eastAsia="Consolas" w:hAnsi="Consolas"/>
                <w:color w:val="3B3F8F"/>
                <w:sz w:val="16"/>
                <w:szCs w:val="16"/>
              </w:rPr>
              <w:t xml:space="preserve">docs/MLOPS.md</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Data scientists, MLOps</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Stratégie, cycle de vie, CI, post-mortems</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docs/FINOPS.md</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Direction, FinOps</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Chiffrage et leviers</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docs/OLAP_SCHEMA_DESIGN.md</w:t>
            </w:r>
            <w:r>
              <w:rPr>
                <w:sz w:val="18"/>
                <w:szCs w:val="18"/>
              </w:rPr>
              <w:t xml:space="preserve">, </w:t>
            </w:r>
            <w:r>
              <w:rPr>
                <w:rFonts w:ascii="Consolas" w:cs="Consolas" w:eastAsia="Consolas" w:hAnsi="Consolas"/>
                <w:color w:val="3B3F8F"/>
                <w:sz w:val="16"/>
                <w:szCs w:val="16"/>
              </w:rPr>
              <w:t xml:space="preserve">docs/NOSQL_DATA_MODEL.md</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Data engineers</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Modèles de données justifiés</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terraform/README.md</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Ops, SRE</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Correspondance PoC → cible, validation, déploiement</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Diagrammes </w:t>
            </w:r>
            <w:r>
              <w:rPr>
                <w:rFonts w:ascii="Consolas" w:cs="Consolas" w:eastAsia="Consolas" w:hAnsi="Consolas"/>
                <w:color w:val="3B3F8F"/>
                <w:sz w:val="16"/>
                <w:szCs w:val="16"/>
              </w:rPr>
              <w:t xml:space="preserve">presentation/*.drawio</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Tous</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Architecture, ERD, MongoDB, structure du code, cible AWS</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notebooks/audit_data_ml.ipynb</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Data, qualité</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Audit exécutable des données et du modèle</w:t>
            </w:r>
          </w:p>
        </w:tc>
      </w:tr>
    </w:tbl>
    <w:p>
      <w:pPr>
        <w:spacing w:after="120"/>
      </w:pPr>
    </w:p>
    <w:p>
      <w:pPr>
        <w:pStyle w:val="Heading2"/>
      </w:pPr>
      <w:r>
        <w:t xml:space="preserve">Coordination</w:t>
      </w:r>
    </w:p>
    <w:p>
      <w:pPr>
        <w:pStyle w:val="ListParagraph"/>
        <w:numPr>
          <w:ilvl w:val="0"/>
          <w:numId w:val="2"/>
        </w:numPr>
        <w:spacing w:after="60" w:line="276"/>
      </w:pPr>
      <w:r>
        <w:rPr>
          <w:b/>
          <w:bCs/>
        </w:rPr>
        <w:t xml:space="preserve">Automatisation partagée</w:t>
      </w:r>
      <w:r>
        <w:t xml:space="preserve"> : le Makefile est l’unique point d’entrée (</w:t>
      </w:r>
      <w:r>
        <w:rPr>
          <w:rFonts w:ascii="Consolas" w:cs="Consolas" w:eastAsia="Consolas" w:hAnsi="Consolas"/>
          <w:color w:val="3B3F8F"/>
          <w:sz w:val="19"/>
          <w:szCs w:val="19"/>
        </w:rPr>
        <w:t xml:space="preserve">make init</w:t>
      </w:r>
      <w:r>
        <w:t xml:space="preserve">, </w:t>
      </w:r>
      <w:r>
        <w:rPr>
          <w:rFonts w:ascii="Consolas" w:cs="Consolas" w:eastAsia="Consolas" w:hAnsi="Consolas"/>
          <w:color w:val="3B3F8F"/>
          <w:sz w:val="19"/>
          <w:szCs w:val="19"/>
        </w:rPr>
        <w:t xml:space="preserve">make test</w:t>
      </w:r>
      <w:r>
        <w:t xml:space="preserve">, </w:t>
      </w:r>
      <w:r>
        <w:rPr>
          <w:rFonts w:ascii="Consolas" w:cs="Consolas" w:eastAsia="Consolas" w:hAnsi="Consolas"/>
          <w:color w:val="3B3F8F"/>
          <w:sz w:val="19"/>
          <w:szCs w:val="19"/>
        </w:rPr>
        <w:t xml:space="preserve">make queries-check</w:t>
      </w:r>
      <w:r>
        <w:t xml:space="preserve">, </w:t>
      </w:r>
      <w:r>
        <w:rPr>
          <w:rFonts w:ascii="Consolas" w:cs="Consolas" w:eastAsia="Consolas" w:hAnsi="Consolas"/>
          <w:color w:val="3B3F8F"/>
          <w:sz w:val="19"/>
          <w:szCs w:val="19"/>
        </w:rPr>
        <w:t xml:space="preserve">make tf-validate</w:t>
      </w:r>
      <w:r>
        <w:t xml:space="preserve">) ; la CI exécute exactement les mêmes commandes.</w:t>
      </w:r>
    </w:p>
    <w:p>
      <w:pPr>
        <w:pStyle w:val="ListParagraph"/>
        <w:numPr>
          <w:ilvl w:val="0"/>
          <w:numId w:val="2"/>
        </w:numPr>
        <w:spacing w:after="60" w:line="276"/>
      </w:pPr>
      <w:r>
        <w:rPr>
          <w:b/>
          <w:bCs/>
        </w:rPr>
        <w:t xml:space="preserve">Garde-fous</w:t>
      </w:r>
      <w:r>
        <w:t xml:space="preserve"> : tests de bout en bout, requêtes et Terraform vérifiés à chaque push ; une régression bloque la branche.</w:t>
      </w:r>
    </w:p>
    <w:p>
      <w:pPr>
        <w:pStyle w:val="ListParagraph"/>
        <w:numPr>
          <w:ilvl w:val="0"/>
          <w:numId w:val="2"/>
        </w:numPr>
        <w:spacing w:after="60" w:line="276"/>
      </w:pPr>
      <w:r>
        <w:rPr>
          <w:b/>
          <w:bCs/>
        </w:rPr>
        <w:t xml:space="preserve">Rôles et accès</w:t>
      </w:r>
      <w:r>
        <w:t xml:space="preserve"> : data engineer (pipeline, </w:t>
      </w:r>
      <w:r>
        <w:rPr>
          <w:rFonts w:ascii="Consolas" w:cs="Consolas" w:eastAsia="Consolas" w:hAnsi="Consolas"/>
          <w:color w:val="3B3F8F"/>
          <w:sz w:val="19"/>
          <w:szCs w:val="19"/>
        </w:rPr>
        <w:t xml:space="preserve">replication_user</w:t>
      </w:r>
      <w:r>
        <w:t xml:space="preserve">), analyste (</w:t>
      </w:r>
      <w:r>
        <w:rPr>
          <w:rFonts w:ascii="Consolas" w:cs="Consolas" w:eastAsia="Consolas" w:hAnsi="Consolas"/>
          <w:color w:val="3B3F8F"/>
          <w:sz w:val="19"/>
          <w:szCs w:val="19"/>
        </w:rPr>
        <w:t xml:space="preserve">analytics_reader</w:t>
      </w:r>
      <w:r>
        <w:t xml:space="preserve">), ML engineer (MLflow, </w:t>
      </w:r>
      <w:r>
        <w:rPr>
          <w:rFonts w:ascii="Consolas" w:cs="Consolas" w:eastAsia="Consolas" w:hAnsi="Consolas"/>
          <w:color w:val="3B3F8F"/>
          <w:sz w:val="19"/>
          <w:szCs w:val="19"/>
        </w:rPr>
        <w:t xml:space="preserve">ml-monitor</w:t>
      </w:r>
      <w:r>
        <w:t xml:space="preserve">), SRE (Terraform, alarmes), DPO (plan RGPD).</w:t>
      </w:r>
    </w:p>
    <w:p>
      <w:pPr>
        <w:pStyle w:val="ListParagraph"/>
        <w:numPr>
          <w:ilvl w:val="0"/>
          <w:numId w:val="2"/>
        </w:numPr>
        <w:spacing w:after="60" w:line="276"/>
      </w:pPr>
      <w:r>
        <w:rPr>
          <w:b/>
          <w:bCs/>
        </w:rPr>
        <w:t xml:space="preserve">Limite honnête</w:t>
      </w:r>
      <w:r>
        <w:t xml:space="preserve"> : projet mené seul ; le fonctionnement en équipe (revue de pull request obligatoire, protection de branche) est décrit mais n’a pas été pratiqué à plusieurs.</w:t>
      </w:r>
    </w:p>
    <w:p>
      <w:pPr>
        <w:pStyle w:val="Heading1"/>
        <w:pageBreakBefore/>
      </w:pPr>
      <w:r>
        <w:t xml:space="preserve">11. Conclusion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7"/>
        <w:gridCol w:w="3068"/>
        <w:gridCol w:w="3251"/>
      </w:tblGrid>
      <w:tr>
        <w:trPr>
          <w:tblHeader/>
        </w:trPr>
        <w:tc>
          <w:tcPr>
            <w:tcW w:type="dxa" w:w="270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Compétence</w:t>
            </w:r>
          </w:p>
        </w:tc>
        <w:tc>
          <w:tcPr>
            <w:tcW w:type="dxa" w:w="3068"/>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Niveau de preuve</w:t>
            </w:r>
          </w:p>
        </w:tc>
        <w:tc>
          <w:tcPr>
            <w:tcW w:type="dxa" w:w="3251"/>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Preuve principale</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C1 Spécifications</w:t>
            </w:r>
          </w:p>
        </w:tc>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Codé et validé</w:t>
            </w:r>
          </w:p>
        </w:tc>
        <w:tc>
          <w:tcPr>
            <w:tcW w:type="dxa" w:w="325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terraform/envs/prod</w:t>
            </w:r>
            <w:r>
              <w:rPr>
                <w:sz w:val="18"/>
                <w:szCs w:val="18"/>
              </w:rPr>
              <w:t xml:space="preserve">, section 2</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C2 Architecture logique et physique</w:t>
            </w:r>
          </w:p>
        </w:tc>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 (logique) / codé (physique)</w:t>
            </w:r>
          </w:p>
        </w:tc>
        <w:tc>
          <w:tcPr>
            <w:tcW w:type="dxa" w:w="325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Diagrammes, stack Docker, </w:t>
            </w:r>
            <w:r>
              <w:rPr>
                <w:rFonts w:ascii="Consolas" w:cs="Consolas" w:eastAsia="Consolas" w:hAnsi="Consolas"/>
                <w:color w:val="3B3F8F"/>
                <w:sz w:val="16"/>
                <w:szCs w:val="16"/>
              </w:rPr>
              <w:t xml:space="preserve">terraform/</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C3 Arbitrage Cloud / PaaS / serverless</w:t>
            </w:r>
          </w:p>
        </w:tc>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Conçu et justifié</w:t>
            </w:r>
          </w:p>
        </w:tc>
        <w:tc>
          <w:tcPr>
            <w:tcW w:type="dxa" w:w="325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Section 4</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C4 Infrastructure as Code</w:t>
            </w:r>
          </w:p>
        </w:tc>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Codé et validé en CI</w:t>
            </w:r>
          </w:p>
        </w:tc>
        <w:tc>
          <w:tcPr>
            <w:tcW w:type="dxa" w:w="325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terraform/</w:t>
            </w:r>
            <w:r>
              <w:rPr>
                <w:sz w:val="18"/>
                <w:szCs w:val="18"/>
              </w:rPr>
              <w:t xml:space="preserve">, job CI </w:t>
            </w:r>
            <w:r>
              <w:rPr>
                <w:rFonts w:ascii="Consolas" w:cs="Consolas" w:eastAsia="Consolas" w:hAnsi="Consolas"/>
                <w:color w:val="3B3F8F"/>
                <w:sz w:val="16"/>
                <w:szCs w:val="16"/>
              </w:rPr>
              <w:t xml:space="preserve">terraform</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C5 Environnements</w:t>
            </w:r>
          </w:p>
        </w:tc>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 (conteneurs) / codé (data lake) / conçu (vectoriel)</w:t>
            </w:r>
          </w:p>
        </w:tc>
        <w:tc>
          <w:tcPr>
            <w:tcW w:type="dxa" w:w="325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docker-compose.yml</w:t>
            </w:r>
            <w:r>
              <w:rPr>
                <w:sz w:val="18"/>
                <w:szCs w:val="18"/>
              </w:rPr>
              <w:t xml:space="preserve">, </w:t>
            </w:r>
            <w:r>
              <w:rPr>
                <w:rFonts w:ascii="Consolas" w:cs="Consolas" w:eastAsia="Consolas" w:hAnsi="Consolas"/>
                <w:color w:val="3B3F8F"/>
                <w:sz w:val="16"/>
                <w:szCs w:val="16"/>
              </w:rPr>
              <w:t xml:space="preserve">modules/storage</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C6 Résilience</w:t>
            </w:r>
          </w:p>
        </w:tc>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 (PoC) / codé (cible)</w:t>
            </w:r>
          </w:p>
        </w:tc>
        <w:tc>
          <w:tcPr>
            <w:tcW w:type="dxa" w:w="325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DLQ, idempotence, post-mortems, modules Multi-AZ</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C7 Sécurité</w:t>
            </w:r>
          </w:p>
        </w:tc>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 (rôles, secrets, login) / codé (KMS, IAM)</w:t>
            </w:r>
          </w:p>
        </w:tc>
        <w:tc>
          <w:tcPr>
            <w:tcW w:type="dxa" w:w="325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init/postgres</w:t>
            </w:r>
            <w:r>
              <w:rPr>
                <w:sz w:val="18"/>
                <w:szCs w:val="18"/>
              </w:rPr>
              <w:t xml:space="preserve">, </w:t>
            </w:r>
            <w:r>
              <w:rPr>
                <w:rFonts w:ascii="Consolas" w:cs="Consolas" w:eastAsia="Consolas" w:hAnsi="Consolas"/>
                <w:color w:val="3B3F8F"/>
                <w:sz w:val="16"/>
                <w:szCs w:val="16"/>
              </w:rPr>
              <w:t xml:space="preserve">modules/security</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C8 FinOps / GreenOps</w:t>
            </w:r>
          </w:p>
        </w:tc>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Chiffré et codé (budgets)</w:t>
            </w:r>
          </w:p>
        </w:tc>
        <w:tc>
          <w:tcPr>
            <w:tcW w:type="dxa" w:w="325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docs/FINOPS.md</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C9 Documentation et coordination</w:t>
            </w:r>
          </w:p>
        </w:tc>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c>
          <w:tcPr>
            <w:tcW w:type="dxa" w:w="325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docs/</w:t>
            </w:r>
            <w:r>
              <w:rPr>
                <w:sz w:val="18"/>
                <w:szCs w:val="18"/>
              </w:rPr>
              <w:t xml:space="preserve">, Makefile, CI</w:t>
            </w:r>
          </w:p>
        </w:tc>
      </w:tr>
    </w:tbl>
    <w:p>
      <w:pPr>
        <w:spacing w:after="120"/>
      </w:pPr>
    </w:p>
    <w:p>
      <w:pPr>
        <w:spacing w:after="140" w:line="288"/>
      </w:pPr>
      <w:r>
        <w:t xml:space="preserve">Le PoC prouve, à coût quasi nul, que la chaîne complète fonctionne : transaction, capture de changement, scoring surveillé, persistance et restitution. Le passage en production ne change pas la logique : il remplace des conteneurs par des services managés, décrits en Terraform et chiffrés en FinOps. Les écarts restants sont identifiés : Terraform non appliqué, Snowflake non connecté, bases vectorielles à construire.</w:t>
      </w:r>
    </w:p>
    <w:sectPr>
      <w:headerReference w:type="default" r:id="rId7"/>
      <w:footerReference w:type="default" r:id="rId8"/>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6C63FF" w:sz="6" w:space="4"/>
      </w:pBdr>
      <w:jc w:val="center"/>
    </w:pPr>
    <w:r>
      <w:rPr>
        <w:color w:val="5F6B7A"/>
        <w:sz w:val="16"/>
        <w:szCs w:val="16"/>
      </w:rPr>
      <w:t xml:space="preserve">Patrice Duclos — AIA RNCP41993  ·  Page </w:t>
    </w:r>
    <w:r>
      <w:rPr>
        <w:color w:val="5F6B7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6C63FF" w:sz="6" w:space="4"/>
      </w:pBdr>
      <w:tabs>
        <w:tab w:val="right" w:pos="9026"/>
      </w:tabs>
    </w:pPr>
    <w:r>
      <w:rPr>
        <w:color w:val="5F6B7A"/>
        <w:sz w:val="16"/>
        <w:szCs w:val="16"/>
      </w:rPr>
      <w:t xml:space="preserve">Stripe — Bloc 2 · Infrastructure Data &amp; IA</w:t>
    </w:r>
    <w:r>
      <w:rPr>
        <w:color w:val="5F6B7A"/>
        <w:sz w:val="16"/>
        <w:szCs w:val="16"/>
      </w:rPr>
      <w:t xml:space="preserve">	Certification AIA RNCP41993 — Bloc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20"/>
      </w:pPr>
    </w:lvl>
  </w:abstractNum>
  <w:abstractNum w:abstractNumId="4" w15:restartNumberingAfterBreak="0">
    <w:multiLevelType w:val="hybridMultilevel"/>
    <w:lvl w:ilvl="0" w15:tentative="1">
      <w:start w:val="1"/>
      <w:numFmt w:val="decimal"/>
      <w:lvlText w:val="%1."/>
      <w:lvlJc w:val="left"/>
      <w:pPr>
        <w:ind w:left="540" w:hanging="320"/>
      </w:pPr>
    </w:lvl>
  </w:abstractNum>
  <w:abstractNum w:abstractNumId="5"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3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6C63FF"/>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1A1F36"/>
      <w:sz w:val="25"/>
      <w:szCs w:val="25"/>
    </w:rPr>
  </w:style>
  <w:style w:type="paragraph" w:styleId="Heading3">
    <w:name w:val="Heading 3"/>
    <w:basedOn w:val="Normal"/>
    <w:next w:val="Normal"/>
    <w:qFormat/>
    <w:pPr>
      <w:spacing w:after="80" w:before="200"/>
      <w:outlineLvl w:val="2"/>
    </w:pPr>
    <w:rPr>
      <w:rFonts w:ascii="Arial" w:cs="Arial" w:eastAsia="Arial" w:hAnsi="Arial"/>
      <w:b/>
      <w:bCs/>
      <w:color w:val="3B3F8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4258b1c303cbe3c03ee4e1d283a29d2065641b6.png"/><Relationship Id="rId10" Type="http://schemas.openxmlformats.org/officeDocument/2006/relationships/image" Target="media/4bea22017f51e12743ceb50479a49cb1e7d170de.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Stripe — Bloc 2 · Infrastructure Data &amp; IA</dc:title>
  <dc:creator>Patrice Duclos</dc:creator>
  <cp:lastModifiedBy>Un-named</cp:lastModifiedBy>
  <cp:revision>1</cp:revision>
  <dcterms:created xsi:type="dcterms:W3CDTF">2026-09-15T17:27:12.654Z</dcterms:created>
  <dcterms:modified xsi:type="dcterms:W3CDTF">2026-09-15T17:27:12.655Z</dcterms:modified>
</cp:coreProperties>
</file>

<file path=docProps/custom.xml><?xml version="1.0" encoding="utf-8"?>
<Properties xmlns="http://schemas.openxmlformats.org/officeDocument/2006/custom-properties" xmlns:vt="http://schemas.openxmlformats.org/officeDocument/2006/docPropsVTypes"/>
</file>