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2"/>
        </w:rPr>
        <w:br/>
        <w:br/>
        <w:br/>
      </w:r>
    </w:p>
    <w:p>
      <w:pPr>
        <w:jc w:val="center"/>
      </w:pPr>
      <w:r>
        <w:rPr>
          <w:b/>
          <w:color w:val="1F4E79"/>
          <w:sz w:val="64"/>
        </w:rPr>
        <w:t>Industrial Knowledge Copilot</w:t>
      </w:r>
    </w:p>
    <w:p>
      <w:pPr>
        <w:jc w:val="center"/>
      </w:pPr>
      <w:r>
        <w:rPr>
          <w:i/>
          <w:sz w:val="28"/>
        </w:rPr>
        <w:t>A local RAG copilot for industrial maintenance,</w:t>
        <w:br/>
        <w:t>running on Apple Silicon with MLX</w:t>
      </w:r>
    </w:p>
    <w:p/>
    <w:p>
      <w:pPr>
        <w:jc w:val="center"/>
      </w:pPr>
      <w:r>
        <w:rPr>
          <w:b/>
          <w:sz w:val="26"/>
        </w:rPr>
        <w:t>Patrice Duclos</w:t>
      </w:r>
    </w:p>
    <w:p>
      <w:pPr>
        <w:jc w:val="center"/>
      </w:pPr>
      <w:r>
        <w:rPr>
          <w:color w:val="555555"/>
          <w:sz w:val="22"/>
        </w:rPr>
        <w:t>RNCP 38777 Lead Data / AI Architect</w:t>
        <w:br/>
        <w:t>Jedha certification — Architecte en IA</w:t>
      </w:r>
    </w:p>
    <w:p/>
    <w:p/>
    <w:tbl>
      <w:tblPr>
        <w:tblStyle w:val="LightGrid-Accent1"/>
        <w:tblW w:type="auto" w:w="0"/>
        <w:jc w:val="center"/>
        <w:tblLook w:firstColumn="1" w:firstRow="1" w:lastColumn="0" w:lastRow="0" w:noHBand="0" w:noVBand="1" w:val="04A0"/>
      </w:tblPr>
      <w:tblGrid>
        <w:gridCol w:w="4819"/>
        <w:gridCol w:w="4819"/>
      </w:tblGrid>
      <w:tr>
        <w:tc>
          <w:tcPr>
            <w:tcW w:type="dxa" w:w="2835"/>
            <w:shd w:val="clear" w:color="auto" w:fill="1F4E79"/>
          </w:tcPr>
          <w:p>
            <w:r>
              <w:rPr>
                <w:b/>
                <w:color w:val="FFFFFF"/>
              </w:rPr>
              <w:t>Metric</w:t>
            </w:r>
          </w:p>
        </w:tc>
        <w:tc>
          <w:tcPr>
            <w:tcW w:type="dxa" w:w="6803"/>
            <w:shd w:val="clear" w:color="auto" w:fill="1F4E79"/>
          </w:tcPr>
          <w:p>
            <w:r>
              <w:rPr>
                <w:b/>
                <w:color w:val="FFFFFF"/>
              </w:rPr>
              <w:t>Value</w:t>
            </w:r>
          </w:p>
        </w:tc>
      </w:tr>
      <w:tr>
        <w:tc>
          <w:tcPr>
            <w:tcW w:type="dxa" w:w="2835"/>
          </w:tcPr>
          <w:p>
            <w:r>
              <w:t>Project type</w:t>
            </w:r>
          </w:p>
        </w:tc>
        <w:tc>
          <w:tcPr>
            <w:tcW w:type="dxa" w:w="6803"/>
          </w:tcPr>
          <w:p>
            <w:r>
              <w:t>Portfolio (LLM/RAG/GenAI in production)</w:t>
            </w:r>
          </w:p>
        </w:tc>
      </w:tr>
      <w:tr>
        <w:tc>
          <w:tcPr>
            <w:tcW w:type="dxa" w:w="2835"/>
          </w:tcPr>
          <w:p>
            <w:r>
              <w:t>Domain</w:t>
            </w:r>
          </w:p>
        </w:tc>
        <w:tc>
          <w:tcPr>
            <w:tcW w:type="dxa" w:w="6803"/>
          </w:tcPr>
          <w:p>
            <w:r>
              <w:t>Industrial maintenance, turbofan predictive maintenance</w:t>
            </w:r>
          </w:p>
        </w:tc>
      </w:tr>
      <w:tr>
        <w:tc>
          <w:tcPr>
            <w:tcW w:type="dxa" w:w="2835"/>
          </w:tcPr>
          <w:p>
            <w:r>
              <w:t>Data sources</w:t>
            </w:r>
          </w:p>
        </w:tc>
        <w:tc>
          <w:tcPr>
            <w:tcW w:type="dxa" w:w="6803"/>
          </w:tcPr>
          <w:p>
            <w:r>
              <w:t>NASA CMAPSS (4 datasets, 45 MB) + 7 Schaeffler/SKF catalogues (135 MB, 4 343 pages)</w:t>
            </w:r>
          </w:p>
        </w:tc>
      </w:tr>
      <w:tr>
        <w:tc>
          <w:tcPr>
            <w:tcW w:type="dxa" w:w="2835"/>
          </w:tcPr>
          <w:p>
            <w:r>
              <w:t>Stack</w:t>
            </w:r>
          </w:p>
        </w:tc>
        <w:tc>
          <w:tcPr>
            <w:tcW w:type="dxa" w:w="6803"/>
          </w:tcPr>
          <w:p>
            <w:r>
              <w:t>Python 3.12 · MLX · Qwen2.5-7B · LangChain v0.3 · ChromaDB · FastAPI · Streamlit · RAGAS</w:t>
            </w:r>
          </w:p>
        </w:tc>
      </w:tr>
      <w:tr>
        <w:tc>
          <w:tcPr>
            <w:tcW w:type="dxa" w:w="2835"/>
          </w:tcPr>
          <w:p>
            <w:r>
              <w:t>Hardware target</w:t>
            </w:r>
          </w:p>
        </w:tc>
        <w:tc>
          <w:tcPr>
            <w:tcW w:type="dxa" w:w="6803"/>
          </w:tcPr>
          <w:p>
            <w:r>
              <w:t>Apple Silicon (MacBook Pro M5 Pro, Metal GPU)</w:t>
            </w:r>
          </w:p>
        </w:tc>
      </w:tr>
      <w:tr>
        <w:tc>
          <w:tcPr>
            <w:tcW w:type="dxa" w:w="2835"/>
          </w:tcPr>
          <w:p>
            <w:r>
              <w:t>Status</w:t>
            </w:r>
          </w:p>
        </w:tc>
        <w:tc>
          <w:tcPr>
            <w:tcW w:type="dxa" w:w="6803"/>
          </w:tcPr>
          <w:p>
            <w:r>
              <w:t>Build fonctionnel, vérifié end-to-end sur M5 Pro</w:t>
            </w:r>
          </w:p>
        </w:tc>
      </w:tr>
      <w:tr>
        <w:tc>
          <w:tcPr>
            <w:tcW w:type="dxa" w:w="2835"/>
          </w:tcPr>
          <w:p>
            <w:r>
              <w:t>Repository</w:t>
            </w:r>
          </w:p>
        </w:tc>
        <w:tc>
          <w:tcPr>
            <w:tcW w:type="dxa" w:w="6803"/>
          </w:tcPr>
          <w:p>
            <w:r>
              <w:t>github.com/PDUCLOS/industrial-knowledge-copilot</w:t>
            </w:r>
          </w:p>
        </w:tc>
      </w:tr>
      <w:tr>
        <w:tc>
          <w:tcPr>
            <w:tcW w:type="dxa" w:w="2835"/>
          </w:tcPr>
          <w:p>
            <w:r>
              <w:t>Documentation</w:t>
            </w:r>
          </w:p>
        </w:tc>
        <w:tc>
          <w:tcPr>
            <w:tcW w:type="dxa" w:w="6803"/>
          </w:tcPr>
          <w:p>
            <w:r>
              <w:t>README.md, docs/architecture.md, docs/pipeline.md, docs/evaluation.md</w:t>
            </w:r>
          </w:p>
        </w:tc>
      </w:tr>
    </w:tbl>
    <w:p>
      <w:r>
        <w:br w:type="page"/>
      </w:r>
    </w:p>
    <w:p>
      <w:pPr>
        <w:pStyle w:val="Heading1"/>
      </w:pPr>
      <w:r>
        <w:rPr>
          <w:sz w:val="36"/>
        </w:rPr>
        <w:t>1. Résumé exécutif</w:t>
      </w:r>
    </w:p>
    <w:p>
      <w:r>
        <w:rPr>
          <w:b w:val="0"/>
          <w:i w:val="0"/>
          <w:sz w:val="22"/>
        </w:rPr>
        <w:t>Industrial Knowledge Copilot est un système de Retrieval-Augmented Generation (RAG) qui répond à des questions techniques sur la maintenance industrielle. Il combine (1) de la recherche documentaire sur 4 343 pages de catalogues Schaeffler et SKF et la documentation technique NASA CMAPSS, (2) un agent ReAct avec tool calling Python sur un DataFrame pandas, et (3) un LLM local Qwen2.5-7B-Instruct quantizé 4-bit via Apple MLX, sans aucune dépendance cloud.</w:t>
      </w:r>
    </w:p>
    <w:p>
      <w:r>
        <w:rPr>
          <w:b w:val="0"/>
          <w:i w:val="0"/>
          <w:sz w:val="22"/>
        </w:rPr>
        <w:t>L'objectif du projet est de démontrer, sur un cas d'usage industriel concret, la chaîne complète d'un système RAG en production : ingestion multi-source, retrieval hybride (BM25 + dense + reranking), génération contrainte par un contexte sourcé, évaluation RAGAS systématique, observabilité (logs JSON, métriques ChromaDB), et conformité au règlement européen sur l'IA (EU AI Act).</w:t>
      </w:r>
    </w:p>
    <w:tbl>
      <w:tblPr>
        <w:tblW w:type="auto" w:w="0"/>
        <w:jc w:val="center"/>
        <w:tblLook w:firstColumn="1" w:firstRow="1" w:lastColumn="0" w:lastRow="0" w:noHBand="0" w:noVBand="1" w:val="04A0"/>
      </w:tblPr>
      <w:tblGrid>
        <w:gridCol w:w="9638"/>
      </w:tblGrid>
      <w:tr>
        <w:tc>
          <w:tcPr>
            <w:tcW w:type="dxa" w:w="9638"/>
            <w:shd w:val="clear" w:color="auto" w:fill="FFF3CD"/>
          </w:tcPr>
          <w:p>
            <w:r>
              <w:rPr>
                <w:i/>
                <w:sz w:val="22"/>
              </w:rPr>
              <w:t>Le projet a été entièrement construit et vérifié end-to-end sur un MacBook Pro M5 Pro. Un audit de 20 bugs a été mené et corrigé avant la première exécution réelle, incluant un A/B test Mistral-7B vs Qwen2.5-7B qui a fait basculer le choix du LLM.</w:t>
            </w:r>
          </w:p>
        </w:tc>
      </w:tr>
    </w:tbl>
    <w:p>
      <w:pPr>
        <w:pStyle w:val="Heading1"/>
      </w:pPr>
      <w:r>
        <w:rPr>
          <w:sz w:val="36"/>
        </w:rPr>
        <w:t>2. Positionnement CV et pertinence marché</w:t>
      </w:r>
    </w:p>
    <w:p>
      <w:r>
        <w:rPr>
          <w:b w:val="0"/>
          <w:i w:val="0"/>
          <w:sz w:val="22"/>
        </w:rPr>
        <w:t>Ce projet comble un écart explicite du CV : aucune expérience professionnelle précédente n'expose la maîtrise de bout en bout d'un système LLM/RAG/IA générative en production. C'est précisément la compétence la plus demandée dans les JDs Data Scientist Senior / Architecte IA / ML Engineer en 2026.</w:t>
      </w:r>
    </w:p>
    <w:p>
      <w:pPr>
        <w:pStyle w:val="Heading2"/>
      </w:pPr>
      <w:r>
        <w:rPr>
          <w:sz w:val="28"/>
        </w:rPr>
        <w:t>Critères d'évaluation typiques d'un recruteur</w:t>
      </w:r>
    </w:p>
    <w:tbl>
      <w:tblPr>
        <w:tblStyle w:val="LightGrid-Accent1"/>
        <w:tblW w:type="auto" w:w="0"/>
        <w:jc w:val="center"/>
        <w:tblLook w:firstColumn="1" w:firstRow="1" w:lastColumn="0" w:lastRow="0" w:noHBand="0" w:noVBand="1" w:val="04A0"/>
      </w:tblPr>
      <w:tblGrid>
        <w:gridCol w:w="4819"/>
        <w:gridCol w:w="4819"/>
      </w:tblGrid>
      <w:tr>
        <w:tc>
          <w:tcPr>
            <w:tcW w:type="dxa" w:w="3118"/>
            <w:shd w:val="clear" w:color="auto" w:fill="1F4E79"/>
          </w:tcPr>
          <w:p>
            <w:r>
              <w:rPr>
                <w:b/>
                <w:color w:val="FFFFFF"/>
              </w:rPr>
              <w:t>Critère</w:t>
            </w:r>
          </w:p>
        </w:tc>
        <w:tc>
          <w:tcPr>
            <w:tcW w:type="dxa" w:w="6520"/>
            <w:shd w:val="clear" w:color="auto" w:fill="1F4E79"/>
          </w:tcPr>
          <w:p>
            <w:r>
              <w:rPr>
                <w:b/>
                <w:color w:val="FFFFFF"/>
              </w:rPr>
              <w:t>Ce que le projet prouve</w:t>
            </w:r>
          </w:p>
        </w:tc>
      </w:tr>
      <w:tr>
        <w:tc>
          <w:tcPr>
            <w:tcW w:type="dxa" w:w="3118"/>
          </w:tcPr>
          <w:p>
            <w:r>
              <w:t>Maîtrise LLM/RAG/IA générative</w:t>
            </w:r>
          </w:p>
        </w:tc>
        <w:tc>
          <w:tcPr>
            <w:tcW w:type="dxa" w:w="6520"/>
          </w:tcPr>
          <w:p>
            <w:r>
              <w:t>Chaîne RAG complète (hybride + reranking), agent tool-calling, prompt engineering, évaluation RAGAS</w:t>
            </w:r>
          </w:p>
        </w:tc>
      </w:tr>
      <w:tr>
        <w:tc>
          <w:tcPr>
            <w:tcW w:type="dxa" w:w="3118"/>
          </w:tcPr>
          <w:p>
            <w:r>
              <w:t>Industrialisation</w:t>
            </w:r>
          </w:p>
        </w:tc>
        <w:tc>
          <w:tcPr>
            <w:tcW w:type="dxa" w:w="6520"/>
          </w:tcPr>
          <w:p>
            <w:r>
              <w:t>Docker Compose, logs JSON structurés, FastAPI + Uvicorn, tests pytest, CI GitHub Actions</w:t>
            </w:r>
          </w:p>
        </w:tc>
      </w:tr>
      <w:tr>
        <w:tc>
          <w:tcPr>
            <w:tcW w:type="dxa" w:w="3118"/>
          </w:tcPr>
          <w:p>
            <w:r>
              <w:t>Sensibilité métier</w:t>
            </w:r>
          </w:p>
        </w:tc>
        <w:tc>
          <w:tcPr>
            <w:tcW w:type="dxa" w:w="6520"/>
          </w:tcPr>
          <w:p>
            <w:r>
              <w:t>Cas d'usage industriel cohérent (roulements, maintenance prédictive) aligné avec un parcours technico-commercial B2B</w:t>
            </w:r>
          </w:p>
        </w:tc>
      </w:tr>
      <w:tr>
        <w:tc>
          <w:tcPr>
            <w:tcW w:type="dxa" w:w="3118"/>
          </w:tcPr>
          <w:p>
            <w:r>
              <w:t>Évaluation de modèles IA</w:t>
            </w:r>
          </w:p>
        </w:tc>
        <w:tc>
          <w:tcPr>
            <w:tcW w:type="dxa" w:w="6520"/>
          </w:tcPr>
          <w:p>
            <w:r>
              <w:t>RAGAS — métriques standardisées (faithfulness, answer relevancy, context precision, context recall)</w:t>
            </w:r>
          </w:p>
        </w:tc>
      </w:tr>
      <w:tr>
        <w:tc>
          <w:tcPr>
            <w:tcW w:type="dxa" w:w="3118"/>
          </w:tcPr>
          <w:p>
            <w:r>
              <w:t>Rigueur d'ingénierie</w:t>
            </w:r>
          </w:p>
        </w:tc>
        <w:tc>
          <w:tcPr>
            <w:tcW w:type="dxa" w:w="6520"/>
          </w:tcPr>
          <w:p>
            <w:r>
              <w:t>Diagnostic et résolution d'une chaîne de 20 bugs réels (dépendances PyPI introuvables, conflit tokenizers, Pydantic v2, API mlx-lm, race conditions, encodage cp1252)</w:t>
            </w:r>
          </w:p>
        </w:tc>
      </w:tr>
      <w:tr>
        <w:tc>
          <w:tcPr>
            <w:tcW w:type="dxa" w:w="3118"/>
          </w:tcPr>
          <w:p>
            <w:r>
              <w:t>Sens du compromis technique</w:t>
            </w:r>
          </w:p>
        </w:tc>
        <w:tc>
          <w:tcPr>
            <w:tcW w:type="dxa" w:w="6520"/>
          </w:tcPr>
          <w:p>
            <w:r>
              <w:t>MLX natif vs Docker, BM25 vs dense, agent vs RAG pur, Mistral vs Qwen2.5 — toutes les décisions sont documentées et justifiées</w:t>
            </w:r>
          </w:p>
        </w:tc>
      </w:tr>
      <w:tr>
        <w:tc>
          <w:tcPr>
            <w:tcW w:type="dxa" w:w="3118"/>
          </w:tcPr>
          <w:p>
            <w:r>
              <w:t>Communication technique</w:t>
            </w:r>
          </w:p>
        </w:tc>
        <w:tc>
          <w:tcPr>
            <w:tcW w:type="dxa" w:w="6520"/>
          </w:tcPr>
          <w:p>
            <w:r>
              <w:t>README pro, diagrammes Mermaid, drawio éditable, pitch d'entretien rédigé, section AI Act complète</w:t>
            </w:r>
          </w:p>
        </w:tc>
      </w:tr>
    </w:tbl>
    <w:p>
      <w:pPr>
        <w:pStyle w:val="Heading1"/>
      </w:pPr>
      <w:r>
        <w:rPr>
          <w:sz w:val="36"/>
        </w:rPr>
        <w:t>3. Cas d'usage : maintenance prédictive</w:t>
      </w:r>
    </w:p>
    <w:p>
      <w:r>
        <w:rPr>
          <w:b w:val="0"/>
          <w:i w:val="0"/>
          <w:sz w:val="22"/>
        </w:rPr>
        <w:t>Le cas d'usage retenu est la maintenance prédictive de turbofans, basé sur le dataset public NASA CMAPSS (Commercial Modular Aero-Propulsion System Simulation). CMAPSS contient les relevés de 21 capteurs de 100 à 260 moteurs, de la mise en service jusqu'à la panne, dans 4 conditions opératoires et modes de故障 distincts (FD001 à FD004).</w:t>
      </w:r>
    </w:p>
    <w:p>
      <w:r>
        <w:rPr>
          <w:b w:val="0"/>
          <w:i w:val="0"/>
          <w:sz w:val="22"/>
        </w:rPr>
        <w:t>Pourquoi CMAPSS plutôt que les autres options évaluées :</w:t>
      </w:r>
    </w:p>
    <w:p>
      <w:pPr>
        <w:pStyle w:val="ListBullet"/>
        <w:ind w:left="283"/>
      </w:pPr>
      <w:r>
        <w:rPr>
          <w:sz w:val="22"/>
        </w:rPr>
        <w:t>Données publiques, propres, normalisées (26 colonnes cohérentes)</w:t>
      </w:r>
    </w:p>
    <w:p>
      <w:pPr>
        <w:pStyle w:val="ListBullet"/>
        <w:ind w:left="283"/>
      </w:pPr>
      <w:r>
        <w:rPr>
          <w:sz w:val="22"/>
        </w:rPr>
        <w:t>Couvre le sensor naming, le RUL, les conditions opérationnelles — aligné avec mon ADN Carrier HVAC / DEXIS BFC industriel</w:t>
      </w:r>
    </w:p>
    <w:p>
      <w:pPr>
        <w:pStyle w:val="ListBullet"/>
        <w:ind w:left="283"/>
      </w:pPr>
      <w:r>
        <w:rPr>
          <w:sz w:val="22"/>
        </w:rPr>
        <w:t>Permet de combiner RAG classique ET agent avec tool calling Python sur DataFrame — double compétence visible en entretien</w:t>
      </w:r>
    </w:p>
    <w:p>
      <w:pPr>
        <w:pStyle w:val="ListBullet"/>
        <w:ind w:left="283"/>
      </w:pPr>
      <w:r>
        <w:rPr>
          <w:sz w:val="22"/>
        </w:rPr>
        <w:t>Possibilité d'enrichir avec 7 catalogues Schaeffler/SKF (4 343 pages) pour montrer une RAG multi-source</w:t>
      </w:r>
    </w:p>
    <w:p>
      <w:pPr>
        <w:pStyle w:val="Heading2"/>
      </w:pPr>
      <w:r>
        <w:rPr>
          <w:sz w:val="28"/>
        </w:rPr>
        <w:t>Pourquoi Qwen2.5-7B plutôt que Mistral-7B (A/B test mesuré)</w:t>
      </w:r>
    </w:p>
    <w:p>
      <w:r>
        <w:rPr>
          <w:b w:val="0"/>
          <w:i w:val="0"/>
          <w:sz w:val="22"/>
        </w:rPr>
        <w:t>Avant de figer le choix du LLM, un A/B test a été mené sur le même harnais ReAct AgentExecutor avec 5 questions quantitatives CMAPSS :</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2835"/>
            <w:shd w:val="clear" w:color="auto" w:fill="1F4E79"/>
          </w:tcPr>
          <w:p>
            <w:r>
              <w:rPr>
                <w:b/>
                <w:color w:val="FFFFFF"/>
              </w:rPr>
              <w:t>Modèle</w:t>
            </w:r>
          </w:p>
        </w:tc>
        <w:tc>
          <w:tcPr>
            <w:tcW w:type="dxa" w:w="2268"/>
            <w:shd w:val="clear" w:color="auto" w:fill="1F4E79"/>
          </w:tcPr>
          <w:p>
            <w:r>
              <w:rPr>
                <w:b/>
                <w:color w:val="FFFFFF"/>
              </w:rPr>
              <w:t>Quant.</w:t>
            </w:r>
          </w:p>
        </w:tc>
        <w:tc>
          <w:tcPr>
            <w:tcW w:type="dxa" w:w="2268"/>
            <w:shd w:val="clear" w:color="auto" w:fill="1F4E79"/>
          </w:tcPr>
          <w:p>
            <w:r>
              <w:rPr>
                <w:b/>
                <w:color w:val="FFFFFF"/>
              </w:rPr>
              <w:t>Tool correctement invoqué</w:t>
            </w:r>
          </w:p>
        </w:tc>
        <w:tc>
          <w:tcPr>
            <w:tcW w:type="dxa" w:w="2268"/>
            <w:shd w:val="clear" w:color="auto" w:fill="1F4E79"/>
          </w:tcPr>
          <w:p>
            <w:r>
              <w:rPr>
                <w:b/>
                <w:color w:val="FFFFFF"/>
              </w:rPr>
              <w:t>Réponse correcte</w:t>
            </w:r>
          </w:p>
        </w:tc>
      </w:tr>
      <w:tr>
        <w:tc>
          <w:tcPr>
            <w:tcW w:type="dxa" w:w="2835"/>
          </w:tcPr>
          <w:p>
            <w:r>
              <w:t>Mistral-7B-Instruct-v0.3</w:t>
            </w:r>
          </w:p>
        </w:tc>
        <w:tc>
          <w:tcPr>
            <w:tcW w:type="dxa" w:w="2268"/>
          </w:tcPr>
          <w:p>
            <w:r>
              <w:t>4-bit</w:t>
            </w:r>
          </w:p>
        </w:tc>
        <w:tc>
          <w:tcPr>
            <w:tcW w:type="dxa" w:w="2268"/>
          </w:tcPr>
          <w:p>
            <w:r>
              <w:t>2 / 5</w:t>
            </w:r>
          </w:p>
        </w:tc>
        <w:tc>
          <w:tcPr>
            <w:tcW w:type="dxa" w:w="2268"/>
          </w:tcPr>
          <w:p>
            <w:r>
              <w:t>1 / 3</w:t>
            </w:r>
          </w:p>
        </w:tc>
      </w:tr>
      <w:tr>
        <w:tc>
          <w:tcPr>
            <w:tcW w:type="dxa" w:w="2835"/>
          </w:tcPr>
          <w:p>
            <w:r>
              <w:t>Qwen2.5-7B-Instruct</w:t>
            </w:r>
          </w:p>
        </w:tc>
        <w:tc>
          <w:tcPr>
            <w:tcW w:type="dxa" w:w="2268"/>
          </w:tcPr>
          <w:p>
            <w:r>
              <w:t>4-bit (même empreinte)</w:t>
            </w:r>
          </w:p>
        </w:tc>
        <w:tc>
          <w:tcPr>
            <w:tcW w:type="dxa" w:w="2268"/>
          </w:tcPr>
          <w:p>
            <w:r>
              <w:t>5 / 5</w:t>
            </w:r>
          </w:p>
        </w:tc>
        <w:tc>
          <w:tcPr>
            <w:tcW w:type="dxa" w:w="2268"/>
          </w:tcPr>
          <w:p>
            <w:r>
              <w:t>2-3 / 3</w:t>
            </w:r>
          </w:p>
        </w:tc>
      </w:tr>
    </w:tbl>
    <w:p>
      <w:r>
        <w:rPr>
          <w:b w:val="0"/>
          <w:i w:val="0"/>
          <w:sz w:val="22"/>
        </w:rPr>
        <w:t>Mistral enroulait souvent le nom de l'outil en backticks markdown, ce qui cassait le matching exact de LangChain et provoquait l'épuisement de la limite d'itérations. Qwen2.5 produit des invocations propres dans 5 cas sur 5, sans overhead de calcul (même taille 7B, même empreinte RAM).</w:t>
      </w:r>
    </w:p>
    <w:tbl>
      <w:tblPr>
        <w:tblW w:type="auto" w:w="0"/>
        <w:jc w:val="center"/>
        <w:tblLook w:firstColumn="1" w:firstRow="1" w:lastColumn="0" w:lastRow="0" w:noHBand="0" w:noVBand="1" w:val="04A0"/>
      </w:tblPr>
      <w:tblGrid>
        <w:gridCol w:w="9638"/>
      </w:tblGrid>
      <w:tr>
        <w:tc>
          <w:tcPr>
            <w:tcW w:type="dxa" w:w="9638"/>
            <w:shd w:val="clear" w:color="auto" w:fill="FFF3CD"/>
          </w:tcPr>
          <w:p>
            <w:r>
              <w:rPr>
                <w:i/>
                <w:sz w:val="22"/>
              </w:rPr>
              <w:t>Le choix a été fait par la mesure, pas par préférence. Avant de comparer les modèles, deux vrais bugs de code (stop sequences non transmises par mlx-lm, return_intermediate_steps manquant) ont été corrigés — sans cela, le A/B test aurait masqué un bug derrière un changement de modèle.</w:t>
            </w:r>
          </w:p>
        </w:tc>
      </w:tr>
    </w:tbl>
    <w:p>
      <w:pPr>
        <w:pStyle w:val="Heading1"/>
      </w:pPr>
      <w:r>
        <w:rPr>
          <w:sz w:val="36"/>
        </w:rPr>
        <w:t>4. Architecture technique</w:t>
      </w:r>
    </w:p>
    <w:p>
      <w:pPr>
        <w:pStyle w:val="Heading2"/>
      </w:pPr>
      <w:r>
        <w:rPr>
          <w:sz w:val="28"/>
        </w:rPr>
        <w:t>Vue d'ensemble</w:t>
      </w:r>
    </w:p>
    <w:p>
      <w:r>
        <w:rPr>
          <w:b w:val="0"/>
          <w:i w:val="0"/>
          <w:sz w:val="22"/>
        </w:rPr>
        <w:t>Trois pipelines indépendants partagent le même état persistant (ChromaDB) :</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701"/>
            <w:shd w:val="clear" w:color="auto" w:fill="1F4E79"/>
          </w:tcPr>
          <w:p>
            <w:r>
              <w:rPr>
                <w:b/>
                <w:color w:val="FFFFFF"/>
              </w:rPr>
              <w:t>Pipeline</w:t>
            </w:r>
          </w:p>
        </w:tc>
        <w:tc>
          <w:tcPr>
            <w:tcW w:type="dxa" w:w="2268"/>
            <w:shd w:val="clear" w:color="auto" w:fill="1F4E79"/>
          </w:tcPr>
          <w:p>
            <w:r>
              <w:rPr>
                <w:b/>
                <w:color w:val="FFFFFF"/>
              </w:rPr>
              <w:t>Fréquence</w:t>
            </w:r>
          </w:p>
        </w:tc>
        <w:tc>
          <w:tcPr>
            <w:tcW w:type="dxa" w:w="2268"/>
            <w:shd w:val="clear" w:color="auto" w:fill="1F4E79"/>
          </w:tcPr>
          <w:p>
            <w:r>
              <w:rPr>
                <w:b/>
                <w:color w:val="FFFFFF"/>
              </w:rPr>
              <w:t>Latence cible</w:t>
            </w:r>
          </w:p>
        </w:tc>
        <w:tc>
          <w:tcPr>
            <w:tcW w:type="dxa" w:w="3402"/>
            <w:shd w:val="clear" w:color="auto" w:fill="1F4E79"/>
          </w:tcPr>
          <w:p>
            <w:r>
              <w:rPr>
                <w:b/>
                <w:color w:val="FFFFFF"/>
              </w:rPr>
              <w:t>But</w:t>
            </w:r>
          </w:p>
        </w:tc>
      </w:tr>
      <w:tr>
        <w:tc>
          <w:tcPr>
            <w:tcW w:type="dxa" w:w="1701"/>
          </w:tcPr>
          <w:p>
            <w:r>
              <w:t>Ingestion</w:t>
            </w:r>
          </w:p>
        </w:tc>
        <w:tc>
          <w:tcPr>
            <w:tcW w:type="dxa" w:w="2268"/>
          </w:tcPr>
          <w:p>
            <w:r>
              <w:t>One-shot par rebuild</w:t>
            </w:r>
          </w:p>
        </w:tc>
        <w:tc>
          <w:tcPr>
            <w:tcW w:type="dxa" w:w="2268"/>
          </w:tcPr>
          <w:p>
            <w:r>
              <w:t>Minutes</w:t>
            </w:r>
          </w:p>
        </w:tc>
        <w:tc>
          <w:tcPr>
            <w:tcW w:type="dxa" w:w="3402"/>
          </w:tcPr>
          <w:p>
            <w:r>
              <w:t>Construire l'index vectoriel à partir de CMAPSS + 7 PDFs</w:t>
            </w:r>
          </w:p>
        </w:tc>
      </w:tr>
      <w:tr>
        <w:tc>
          <w:tcPr>
            <w:tcW w:type="dxa" w:w="1701"/>
          </w:tcPr>
          <w:p>
            <w:r>
              <w:t>Requête</w:t>
            </w:r>
          </w:p>
        </w:tc>
        <w:tc>
          <w:tcPr>
            <w:tcW w:type="dxa" w:w="2268"/>
          </w:tcPr>
          <w:p>
            <w:r>
              <w:t>Par question utilisateur</w:t>
            </w:r>
          </w:p>
        </w:tc>
        <w:tc>
          <w:tcPr>
            <w:tcW w:type="dxa" w:w="2268"/>
          </w:tcPr>
          <w:p>
            <w:r>
              <w:t>&lt; 6 s end-to-end</w:t>
            </w:r>
          </w:p>
        </w:tc>
        <w:tc>
          <w:tcPr>
            <w:tcW w:type="dxa" w:w="3402"/>
          </w:tcPr>
          <w:p>
            <w:r>
              <w:t>Répondre en citant les sources</w:t>
            </w:r>
          </w:p>
        </w:tc>
      </w:tr>
      <w:tr>
        <w:tc>
          <w:tcPr>
            <w:tcW w:type="dxa" w:w="1701"/>
          </w:tcPr>
          <w:p>
            <w:r>
              <w:t>Évaluation</w:t>
            </w:r>
          </w:p>
        </w:tc>
        <w:tc>
          <w:tcPr>
            <w:tcW w:type="dxa" w:w="2268"/>
          </w:tcPr>
          <w:p>
            <w:r>
              <w:t>À chaque release</w:t>
            </w:r>
          </w:p>
        </w:tc>
        <w:tc>
          <w:tcPr>
            <w:tcW w:type="dxa" w:w="2268"/>
          </w:tcPr>
          <w:p>
            <w:r>
              <w:t>~5 min pour 30 items</w:t>
            </w:r>
          </w:p>
        </w:tc>
        <w:tc>
          <w:tcPr>
            <w:tcW w:type="dxa" w:w="3402"/>
          </w:tcPr>
          <w:p>
            <w:r>
              <w:t>Mesurer la qualité avec RAGAS, snapshotter</w:t>
            </w:r>
          </w:p>
        </w:tc>
      </w:tr>
    </w:tbl>
    <w:p>
      <w:pPr>
        <w:pStyle w:val="Heading2"/>
      </w:pPr>
      <w:r>
        <w:rPr>
          <w:sz w:val="28"/>
        </w:rPr>
        <w:t>Pourquoi MLX natif sur le host, ChromaDB dans Docker</w:t>
      </w:r>
    </w:p>
    <w:p>
      <w:r>
        <w:rPr>
          <w:b w:val="0"/>
          <w:i w:val="0"/>
          <w:sz w:val="22"/>
        </w:rPr>
        <w:t>Docker Desktop sur macOS exécute les containers dans une VM Linux/arm64. L'API Metal (qui sert de backend GPU à MLX) n'est pas exposée à cette VM, donc :</w:t>
      </w:r>
    </w:p>
    <w:p>
      <w:pPr>
        <w:pStyle w:val="ListBullet"/>
        <w:ind w:left="283"/>
      </w:pPr>
      <w:r>
        <w:rPr>
          <w:sz w:val="22"/>
        </w:rPr>
        <w:t>MLX (LLM + embeddings) doit tourner nativement sur le host pour avoir Metal/Neural Engine direct</w:t>
      </w:r>
    </w:p>
    <w:p>
      <w:pPr>
        <w:pStyle w:val="ListBullet"/>
        <w:ind w:left="283"/>
      </w:pPr>
      <w:r>
        <w:rPr>
          <w:sz w:val="22"/>
        </w:rPr>
        <w:t>ChromaDB tourne dans Docker car il n'a pas cette contrainte</w:t>
      </w:r>
    </w:p>
    <w:p>
      <w:pPr>
        <w:pStyle w:val="ListBullet"/>
        <w:ind w:left="283"/>
      </w:pPr>
      <w:r>
        <w:rPr>
          <w:sz w:val="22"/>
        </w:rPr>
        <w:t>FastAPI et Streamlit tournent sur le host pour pouvoir appeler MLX</w:t>
      </w:r>
    </w:p>
    <w:p>
      <w:r>
        <w:rPr>
          <w:b w:val="0"/>
          <w:i w:val="0"/>
          <w:sz w:val="22"/>
        </w:rPr>
        <w:t>L'alternative Ollama dans Docker a été rejetée : MLX donne de meilleures latences sur M5 Pro (2-5 s par requête vs 5-10 s pour Ollama) et l'intégration LangChain est plus directe. C'est un compromis architectural conscient, pas un accident.</w:t>
      </w:r>
    </w:p>
    <w:p>
      <w:pPr>
        <w:pStyle w:val="Heading2"/>
      </w:pPr>
      <w:r>
        <w:rPr>
          <w:sz w:val="28"/>
        </w:rPr>
        <w:t>Stack technologique (versions pinning)</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984"/>
            <w:shd w:val="clear" w:color="auto" w:fill="1F4E79"/>
          </w:tcPr>
          <w:p>
            <w:r>
              <w:rPr>
                <w:b/>
                <w:color w:val="FFFFFF"/>
              </w:rPr>
              <w:t>Couche</w:t>
            </w:r>
          </w:p>
        </w:tc>
        <w:tc>
          <w:tcPr>
            <w:tcW w:type="dxa" w:w="2835"/>
            <w:shd w:val="clear" w:color="auto" w:fill="1F4E79"/>
          </w:tcPr>
          <w:p>
            <w:r>
              <w:rPr>
                <w:b/>
                <w:color w:val="FFFFFF"/>
              </w:rPr>
              <w:t>Choix</w:t>
            </w:r>
          </w:p>
        </w:tc>
        <w:tc>
          <w:tcPr>
            <w:tcW w:type="dxa" w:w="1701"/>
            <w:shd w:val="clear" w:color="auto" w:fill="1F4E79"/>
          </w:tcPr>
          <w:p>
            <w:r>
              <w:rPr>
                <w:b/>
                <w:color w:val="FFFFFF"/>
              </w:rPr>
              <w:t>Version</w:t>
            </w:r>
          </w:p>
        </w:tc>
        <w:tc>
          <w:tcPr>
            <w:tcW w:type="dxa" w:w="3118"/>
            <w:shd w:val="clear" w:color="auto" w:fill="1F4E79"/>
          </w:tcPr>
          <w:p>
            <w:r>
              <w:rPr>
                <w:b/>
                <w:color w:val="FFFFFF"/>
              </w:rPr>
              <w:t>Pourquoi</w:t>
            </w:r>
          </w:p>
        </w:tc>
      </w:tr>
      <w:tr>
        <w:tc>
          <w:tcPr>
            <w:tcW w:type="dxa" w:w="1984"/>
          </w:tcPr>
          <w:p>
            <w:r>
              <w:t>LLM</w:t>
            </w:r>
          </w:p>
        </w:tc>
        <w:tc>
          <w:tcPr>
            <w:tcW w:type="dxa" w:w="2835"/>
          </w:tcPr>
          <w:p>
            <w:r>
              <w:t>Qwen2.5-7B-Instruct (4-bit MLX)</w:t>
            </w:r>
          </w:p>
        </w:tc>
        <w:tc>
          <w:tcPr>
            <w:tcW w:type="dxa" w:w="1701"/>
          </w:tcPr>
          <w:p>
            <w:r>
              <w:t>mlx-lm 0.28.4</w:t>
            </w:r>
          </w:p>
        </w:tc>
        <w:tc>
          <w:tcPr>
            <w:tcW w:type="dxa" w:w="3118"/>
          </w:tcPr>
          <w:p>
            <w:r>
              <w:t>Local, FR-correct, A/B test gagnant</w:t>
            </w:r>
          </w:p>
        </w:tc>
      </w:tr>
      <w:tr>
        <w:tc>
          <w:tcPr>
            <w:tcW w:type="dxa" w:w="1984"/>
          </w:tcPr>
          <w:p>
            <w:r>
              <w:t>Embeddings</w:t>
            </w:r>
          </w:p>
        </w:tc>
        <w:tc>
          <w:tcPr>
            <w:tcW w:type="dxa" w:w="2835"/>
          </w:tcPr>
          <w:p>
            <w:r>
              <w:t>BAAI/bge-small-en-v1.5</w:t>
            </w:r>
          </w:p>
        </w:tc>
        <w:tc>
          <w:tcPr>
            <w:tcW w:type="dxa" w:w="1701"/>
          </w:tcPr>
          <w:p>
            <w:r>
              <w:t>sentence-transformers 3.2.1</w:t>
            </w:r>
          </w:p>
        </w:tc>
        <w:tc>
          <w:tcPr>
            <w:tcW w:type="dxa" w:w="3118"/>
          </w:tcPr>
          <w:p>
            <w:r>
              <w:t>33M params, rapide, EN</w:t>
            </w:r>
          </w:p>
        </w:tc>
      </w:tr>
      <w:tr>
        <w:tc>
          <w:tcPr>
            <w:tcW w:type="dxa" w:w="1984"/>
          </w:tcPr>
          <w:p>
            <w:r>
              <w:t>Reranker (opt.)</w:t>
            </w:r>
          </w:p>
        </w:tc>
        <w:tc>
          <w:tcPr>
            <w:tcW w:type="dxa" w:w="2835"/>
          </w:tcPr>
          <w:p>
            <w:r>
              <w:t>cross-encoder/ms-marco-MiniLM-L-6-v2</w:t>
            </w:r>
          </w:p>
        </w:tc>
        <w:tc>
          <w:tcPr>
            <w:tcW w:type="dxa" w:w="1701"/>
          </w:tcPr>
          <w:p>
            <w:r>
              <w:t>sentence-transformers</w:t>
            </w:r>
          </w:p>
        </w:tc>
        <w:tc>
          <w:tcPr>
            <w:tcW w:type="dxa" w:w="3118"/>
          </w:tcPr>
          <w:p>
            <w:r>
              <w:t>+0.10-0.20 sur context_precision</w:t>
            </w:r>
          </w:p>
        </w:tc>
      </w:tr>
      <w:tr>
        <w:tc>
          <w:tcPr>
            <w:tcW w:type="dxa" w:w="1984"/>
          </w:tcPr>
          <w:p>
            <w:r>
              <w:t>Vector store</w:t>
            </w:r>
          </w:p>
        </w:tc>
        <w:tc>
          <w:tcPr>
            <w:tcW w:type="dxa" w:w="2835"/>
          </w:tcPr>
          <w:p>
            <w:r>
              <w:t>ChromaDB (HTTP)</w:t>
            </w:r>
          </w:p>
        </w:tc>
        <w:tc>
          <w:tcPr>
            <w:tcW w:type="dxa" w:w="1701"/>
          </w:tcPr>
          <w:p>
            <w:r>
              <w:t>0.6.3</w:t>
            </w:r>
          </w:p>
        </w:tc>
        <w:tc>
          <w:tcPr>
            <w:tcW w:type="dxa" w:w="3118"/>
          </w:tcPr>
          <w:p>
            <w:r>
              <w:t>Local, HNSW cosine, persistent volume</w:t>
            </w:r>
          </w:p>
        </w:tc>
      </w:tr>
      <w:tr>
        <w:tc>
          <w:tcPr>
            <w:tcW w:type="dxa" w:w="1984"/>
          </w:tcPr>
          <w:p>
            <w:r>
              <w:t>Orchestration</w:t>
            </w:r>
          </w:p>
        </w:tc>
        <w:tc>
          <w:tcPr>
            <w:tcW w:type="dxa" w:w="2835"/>
          </w:tcPr>
          <w:p>
            <w:r>
              <w:t>LangChain LCEL</w:t>
            </w:r>
          </w:p>
        </w:tc>
        <w:tc>
          <w:tcPr>
            <w:tcW w:type="dxa" w:w="1701"/>
          </w:tcPr>
          <w:p>
            <w:r>
              <w:t>0.3.13</w:t>
            </w:r>
          </w:p>
        </w:tc>
        <w:tc>
          <w:tcPr>
            <w:tcW w:type="dxa" w:w="3118"/>
          </w:tcPr>
          <w:p>
            <w:r>
              <w:t>Standard 2026, demandé dans 80 % des JDs</w:t>
            </w:r>
          </w:p>
        </w:tc>
      </w:tr>
      <w:tr>
        <w:tc>
          <w:tcPr>
            <w:tcW w:type="dxa" w:w="1984"/>
          </w:tcPr>
          <w:p>
            <w:r>
              <w:t>Hybrid retrieval</w:t>
            </w:r>
          </w:p>
        </w:tc>
        <w:tc>
          <w:tcPr>
            <w:tcW w:type="dxa" w:w="2835"/>
          </w:tcPr>
          <w:p>
            <w:r>
              <w:t>BM25 + dense (RRF)</w:t>
            </w:r>
          </w:p>
        </w:tc>
        <w:tc>
          <w:tcPr>
            <w:tcW w:type="dxa" w:w="1701"/>
          </w:tcPr>
          <w:p>
            <w:r>
              <w:t>rank-bm25 0.2.2</w:t>
            </w:r>
          </w:p>
        </w:tc>
        <w:tc>
          <w:tcPr>
            <w:tcW w:type="dxa" w:w="3118"/>
          </w:tcPr>
          <w:p>
            <w:r>
              <w:t>Catches exact-match que dense rate</w:t>
            </w:r>
          </w:p>
        </w:tc>
      </w:tr>
      <w:tr>
        <w:tc>
          <w:tcPr>
            <w:tcW w:type="dxa" w:w="1984"/>
          </w:tcPr>
          <w:p>
            <w:r>
              <w:t>Évaluation</w:t>
            </w:r>
          </w:p>
        </w:tc>
        <w:tc>
          <w:tcPr>
            <w:tcW w:type="dxa" w:w="2835"/>
          </w:tcPr>
          <w:p>
            <w:r>
              <w:t>RAGAS</w:t>
            </w:r>
          </w:p>
        </w:tc>
        <w:tc>
          <w:tcPr>
            <w:tcW w:type="dxa" w:w="1701"/>
          </w:tcPr>
          <w:p>
            <w:r>
              <w:t>0.2.10</w:t>
            </w:r>
          </w:p>
        </w:tc>
        <w:tc>
          <w:tcPr>
            <w:tcW w:type="dxa" w:w="3118"/>
          </w:tcPr>
          <w:p>
            <w:r>
              <w:t>Standard pour RAG, LLM-as-judge</w:t>
            </w:r>
          </w:p>
        </w:tc>
      </w:tr>
      <w:tr>
        <w:tc>
          <w:tcPr>
            <w:tcW w:type="dxa" w:w="1984"/>
          </w:tcPr>
          <w:p>
            <w:r>
              <w:t>API</w:t>
            </w:r>
          </w:p>
        </w:tc>
        <w:tc>
          <w:tcPr>
            <w:tcW w:type="dxa" w:w="2835"/>
          </w:tcPr>
          <w:p>
            <w:r>
              <w:t>FastAPI + Uvicorn</w:t>
            </w:r>
          </w:p>
        </w:tc>
        <w:tc>
          <w:tcPr>
            <w:tcW w:type="dxa" w:w="1701"/>
          </w:tcPr>
          <w:p>
            <w:r>
              <w:t>0.115.5</w:t>
            </w:r>
          </w:p>
        </w:tc>
        <w:tc>
          <w:tcPr>
            <w:tcW w:type="dxa" w:w="3118"/>
          </w:tcPr>
          <w:p>
            <w:r>
              <w:t>Type-safe, async, bien connu</w:t>
            </w:r>
          </w:p>
        </w:tc>
      </w:tr>
      <w:tr>
        <w:tc>
          <w:tcPr>
            <w:tcW w:type="dxa" w:w="1984"/>
          </w:tcPr>
          <w:p>
            <w:r>
              <w:t>UI</w:t>
            </w:r>
          </w:p>
        </w:tc>
        <w:tc>
          <w:tcPr>
            <w:tcW w:type="dxa" w:w="2835"/>
          </w:tcPr>
          <w:p>
            <w:r>
              <w:t>Streamlit</w:t>
            </w:r>
          </w:p>
        </w:tc>
        <w:tc>
          <w:tcPr>
            <w:tcW w:type="dxa" w:w="1701"/>
          </w:tcPr>
          <w:p>
            <w:r>
              <w:t>1.41.1</w:t>
            </w:r>
          </w:p>
        </w:tc>
        <w:tc>
          <w:tcPr>
            <w:tcW w:type="dxa" w:w="3118"/>
          </w:tcPr>
          <w:p>
            <w:r>
              <w:t>Multi-onglets, démo rapide</w:t>
            </w:r>
          </w:p>
        </w:tc>
      </w:tr>
      <w:tr>
        <w:tc>
          <w:tcPr>
            <w:tcW w:type="dxa" w:w="1984"/>
          </w:tcPr>
          <w:p>
            <w:r>
              <w:t>Container</w:t>
            </w:r>
          </w:p>
        </w:tc>
        <w:tc>
          <w:tcPr>
            <w:tcW w:type="dxa" w:w="2835"/>
          </w:tcPr>
          <w:p>
            <w:r>
              <w:t>Docker Compose (ChromaDB seulement)</w:t>
            </w:r>
          </w:p>
        </w:tc>
        <w:tc>
          <w:tcPr>
            <w:tcW w:type="dxa" w:w="1701"/>
          </w:tcPr>
          <w:p>
            <w:r>
              <w:t>chroma 0.5.23</w:t>
            </w:r>
          </w:p>
        </w:tc>
        <w:tc>
          <w:tcPr>
            <w:tcW w:type="dxa" w:w="3118"/>
          </w:tcPr>
          <w:p>
            <w:r>
              <w:t>Pas de pollution host</w:t>
            </w:r>
          </w:p>
        </w:tc>
      </w:tr>
      <w:tr>
        <w:tc>
          <w:tcPr>
            <w:tcW w:type="dxa" w:w="1984"/>
          </w:tcPr>
          <w:p>
            <w:r>
              <w:t>Logging</w:t>
            </w:r>
          </w:p>
        </w:tc>
        <w:tc>
          <w:tcPr>
            <w:tcW w:type="dxa" w:w="2835"/>
          </w:tcPr>
          <w:p>
            <w:r>
              <w:t>loguru (JSON structuré)</w:t>
            </w:r>
          </w:p>
        </w:tc>
        <w:tc>
          <w:tcPr>
            <w:tcW w:type="dxa" w:w="1701"/>
          </w:tcPr>
          <w:p>
            <w:r>
              <w:t>0.7.3</w:t>
            </w:r>
          </w:p>
        </w:tc>
        <w:tc>
          <w:tcPr>
            <w:tcW w:type="dxa" w:w="3118"/>
          </w:tcPr>
          <w:p>
            <w:r>
              <w:t>Format uniforme, parseable</w:t>
            </w:r>
          </w:p>
        </w:tc>
      </w:tr>
      <w:tr>
        <w:tc>
          <w:tcPr>
            <w:tcW w:type="dxa" w:w="1984"/>
          </w:tcPr>
          <w:p>
            <w:r>
              <w:t>Tests</w:t>
            </w:r>
          </w:p>
        </w:tc>
        <w:tc>
          <w:tcPr>
            <w:tcW w:type="dxa" w:w="2835"/>
          </w:tcPr>
          <w:p>
            <w:r>
              <w:t>pytest + RAGAS eval</w:t>
            </w:r>
          </w:p>
        </w:tc>
        <w:tc>
          <w:tcPr>
            <w:tcW w:type="dxa" w:w="1701"/>
          </w:tcPr>
          <w:p>
            <w:r>
              <w:t>8.3.4</w:t>
            </w:r>
          </w:p>
        </w:tc>
        <w:tc>
          <w:tcPr>
            <w:tcW w:type="dxa" w:w="3118"/>
          </w:tcPr>
          <w:p>
            <w:r>
              <w:t>21/21 verts</w:t>
            </w:r>
          </w:p>
        </w:tc>
      </w:tr>
    </w:tbl>
    <w:p>
      <w:r>
        <w:br w:type="page"/>
      </w:r>
    </w:p>
    <w:p>
      <w:pPr>
        <w:pStyle w:val="Heading1"/>
      </w:pPr>
      <w:r>
        <w:rPr>
          <w:sz w:val="36"/>
        </w:rPr>
        <w:t>5. Structure de la base de données (ChromaDB)</w:t>
      </w:r>
    </w:p>
    <w:p>
      <w:r>
        <w:rPr>
          <w:b w:val="0"/>
          <w:i w:val="0"/>
          <w:sz w:val="22"/>
        </w:rPr>
        <w:t>La base ChromaDB tourne dans un container Docker, exposée sur :8001. Elle stocke les embeddings, le texte source, les métadonnées, et un index HNSW pour la recherche par similarité cosinus. Le volume Docker ikc-chroma-data est persistant sur disque.</w:t>
      </w:r>
    </w:p>
    <w:p>
      <w:pPr>
        <w:pStyle w:val="Heading2"/>
      </w:pPr>
      <w:r>
        <w:rPr>
          <w:sz w:val="28"/>
        </w:rPr>
        <w:t>Schéma de la collection</w:t>
      </w:r>
    </w:p>
    <w:tbl>
      <w:tblPr>
        <w:tblStyle w:val="LightGrid-Accent1"/>
        <w:tblW w:type="auto" w:w="0"/>
        <w:jc w:val="center"/>
        <w:tblLook w:firstColumn="1" w:firstRow="1" w:lastColumn="0" w:lastRow="0" w:noHBand="0" w:noVBand="1" w:val="04A0"/>
      </w:tblPr>
      <w:tblGrid>
        <w:gridCol w:w="3213"/>
        <w:gridCol w:w="3213"/>
        <w:gridCol w:w="3213"/>
      </w:tblGrid>
      <w:tr>
        <w:tc>
          <w:tcPr>
            <w:tcW w:type="dxa" w:w="1984"/>
            <w:shd w:val="clear" w:color="auto" w:fill="1F4E79"/>
          </w:tcPr>
          <w:p>
            <w:r>
              <w:rPr>
                <w:b/>
                <w:color w:val="FFFFFF"/>
              </w:rPr>
              <w:t>Champ</w:t>
            </w:r>
          </w:p>
        </w:tc>
        <w:tc>
          <w:tcPr>
            <w:tcW w:type="dxa" w:w="2268"/>
            <w:shd w:val="clear" w:color="auto" w:fill="1F4E79"/>
          </w:tcPr>
          <w:p>
            <w:r>
              <w:rPr>
                <w:b/>
                <w:color w:val="FFFFFF"/>
              </w:rPr>
              <w:t>Type</w:t>
            </w:r>
          </w:p>
        </w:tc>
        <w:tc>
          <w:tcPr>
            <w:tcW w:type="dxa" w:w="5386"/>
            <w:shd w:val="clear" w:color="auto" w:fill="1F4E79"/>
          </w:tcPr>
          <w:p>
            <w:r>
              <w:rPr>
                <w:b/>
                <w:color w:val="FFFFFF"/>
              </w:rPr>
              <w:t>Description</w:t>
            </w:r>
          </w:p>
        </w:tc>
      </w:tr>
      <w:tr>
        <w:tc>
          <w:tcPr>
            <w:tcW w:type="dxa" w:w="1984"/>
          </w:tcPr>
          <w:p>
            <w:r>
              <w:t>ids</w:t>
            </w:r>
          </w:p>
        </w:tc>
        <w:tc>
          <w:tcPr>
            <w:tcW w:type="dxa" w:w="2268"/>
          </w:tcPr>
          <w:p>
            <w:r>
              <w:t>list[str]</w:t>
            </w:r>
          </w:p>
        </w:tc>
        <w:tc>
          <w:tcPr>
            <w:tcW w:type="dxa" w:w="5386"/>
          </w:tcPr>
          <w:p>
            <w:r>
              <w:t>Identifiant unique du chunk (ex: cmapss:FD001:0)</w:t>
            </w:r>
          </w:p>
        </w:tc>
      </w:tr>
      <w:tr>
        <w:tc>
          <w:tcPr>
            <w:tcW w:type="dxa" w:w="1984"/>
          </w:tcPr>
          <w:p>
            <w:r>
              <w:t>embeddings</w:t>
            </w:r>
          </w:p>
        </w:tc>
        <w:tc>
          <w:tcPr>
            <w:tcW w:type="dxa" w:w="2268"/>
          </w:tcPr>
          <w:p>
            <w:r>
              <w:t>list[list[float]]</w:t>
            </w:r>
          </w:p>
        </w:tc>
        <w:tc>
          <w:tcPr>
            <w:tcW w:type="dxa" w:w="5386"/>
          </w:tcPr>
          <w:p>
            <w:r>
              <w:t>Vecteur 384-dim (bge-small-en-v1.5)</w:t>
            </w:r>
          </w:p>
        </w:tc>
      </w:tr>
      <w:tr>
        <w:tc>
          <w:tcPr>
            <w:tcW w:type="dxa" w:w="1984"/>
          </w:tcPr>
          <w:p>
            <w:r>
              <w:t>documents</w:t>
            </w:r>
          </w:p>
        </w:tc>
        <w:tc>
          <w:tcPr>
            <w:tcW w:type="dxa" w:w="2268"/>
          </w:tcPr>
          <w:p>
            <w:r>
              <w:t>list[str]</w:t>
            </w:r>
          </w:p>
        </w:tc>
        <w:tc>
          <w:tcPr>
            <w:tcW w:type="dxa" w:w="5386"/>
          </w:tcPr>
          <w:p>
            <w:r>
              <w:t>Texte complet du chunk (markdown)</w:t>
            </w:r>
          </w:p>
        </w:tc>
      </w:tr>
      <w:tr>
        <w:tc>
          <w:tcPr>
            <w:tcW w:type="dxa" w:w="1984"/>
          </w:tcPr>
          <w:p>
            <w:r>
              <w:t>metadatas</w:t>
            </w:r>
          </w:p>
        </w:tc>
        <w:tc>
          <w:tcPr>
            <w:tcW w:type="dxa" w:w="2268"/>
          </w:tcPr>
          <w:p>
            <w:r>
              <w:t>list[dict]</w:t>
            </w:r>
          </w:p>
        </w:tc>
        <w:tc>
          <w:tcPr>
            <w:tcW w:type="dxa" w:w="5386"/>
          </w:tcPr>
          <w:p>
            <w:r>
              <w:t>Métadonnées structurées (voir ci-dessous)</w:t>
            </w:r>
          </w:p>
        </w:tc>
      </w:tr>
    </w:tbl>
    <w:p>
      <w:pPr>
        <w:pStyle w:val="Heading2"/>
      </w:pPr>
      <w:r>
        <w:rPr>
          <w:sz w:val="28"/>
        </w:rPr>
        <w:t>Métadonnées par chunk</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1701"/>
            <w:shd w:val="clear" w:color="auto" w:fill="1F4E79"/>
          </w:tcPr>
          <w:p>
            <w:r>
              <w:rPr>
                <w:b/>
                <w:color w:val="FFFFFF"/>
              </w:rPr>
              <w:t>Clé</w:t>
            </w:r>
          </w:p>
        </w:tc>
        <w:tc>
          <w:tcPr>
            <w:tcW w:type="dxa" w:w="1417"/>
            <w:shd w:val="clear" w:color="auto" w:fill="1F4E79"/>
          </w:tcPr>
          <w:p>
            <w:r>
              <w:rPr>
                <w:b/>
                <w:color w:val="FFFFFF"/>
              </w:rPr>
              <w:t>Type</w:t>
            </w:r>
          </w:p>
        </w:tc>
        <w:tc>
          <w:tcPr>
            <w:tcW w:type="dxa" w:w="2268"/>
            <w:shd w:val="clear" w:color="auto" w:fill="1F4E79"/>
          </w:tcPr>
          <w:p>
            <w:r>
              <w:rPr>
                <w:b/>
                <w:color w:val="FFFFFF"/>
              </w:rPr>
              <w:t>Source</w:t>
            </w:r>
          </w:p>
        </w:tc>
        <w:tc>
          <w:tcPr>
            <w:tcW w:type="dxa" w:w="4252"/>
            <w:shd w:val="clear" w:color="auto" w:fill="1F4E79"/>
          </w:tcPr>
          <w:p>
            <w:r>
              <w:rPr>
                <w:b/>
                <w:color w:val="FFFFFF"/>
              </w:rPr>
              <w:t>Exemple</w:t>
            </w:r>
          </w:p>
        </w:tc>
      </w:tr>
      <w:tr>
        <w:tc>
          <w:tcPr>
            <w:tcW w:type="dxa" w:w="1701"/>
          </w:tcPr>
          <w:p>
            <w:r>
              <w:t>source</w:t>
            </w:r>
          </w:p>
        </w:tc>
        <w:tc>
          <w:tcPr>
            <w:tcW w:type="dxa" w:w="1417"/>
          </w:tcPr>
          <w:p>
            <w:r>
              <w:t>str</w:t>
            </w:r>
          </w:p>
        </w:tc>
        <w:tc>
          <w:tcPr>
            <w:tcW w:type="dxa" w:w="2268"/>
          </w:tcPr>
          <w:p>
            <w:r>
              <w:t>toutes</w:t>
            </w:r>
          </w:p>
        </w:tc>
        <w:tc>
          <w:tcPr>
            <w:tcW w:type="dxa" w:w="4252"/>
          </w:tcPr>
          <w:p>
            <w:r>
              <w:t>cmapss:FD001 / pdf:schaeffler-gl1-large-size-bearings.pdf</w:t>
            </w:r>
          </w:p>
        </w:tc>
      </w:tr>
      <w:tr>
        <w:tc>
          <w:tcPr>
            <w:tcW w:type="dxa" w:w="1701"/>
          </w:tcPr>
          <w:p>
            <w:r>
              <w:t>type</w:t>
            </w:r>
          </w:p>
        </w:tc>
        <w:tc>
          <w:tcPr>
            <w:tcW w:type="dxa" w:w="1417"/>
          </w:tcPr>
          <w:p>
            <w:r>
              <w:t>str</w:t>
            </w:r>
          </w:p>
        </w:tc>
        <w:tc>
          <w:tcPr>
            <w:tcW w:type="dxa" w:w="2268"/>
          </w:tcPr>
          <w:p>
            <w:r>
              <w:t>toutes</w:t>
            </w:r>
          </w:p>
        </w:tc>
        <w:tc>
          <w:tcPr>
            <w:tcW w:type="dxa" w:w="4252"/>
          </w:tcPr>
          <w:p>
            <w:r>
              <w:t>doc / dataset / pdf</w:t>
            </w:r>
          </w:p>
        </w:tc>
      </w:tr>
      <w:tr>
        <w:tc>
          <w:tcPr>
            <w:tcW w:type="dxa" w:w="1701"/>
          </w:tcPr>
          <w:p>
            <w:r>
              <w:t>subset</w:t>
            </w:r>
          </w:p>
        </w:tc>
        <w:tc>
          <w:tcPr>
            <w:tcW w:type="dxa" w:w="1417"/>
          </w:tcPr>
          <w:p>
            <w:r>
              <w:t>str</w:t>
            </w:r>
          </w:p>
        </w:tc>
        <w:tc>
          <w:tcPr>
            <w:tcW w:type="dxa" w:w="2268"/>
          </w:tcPr>
          <w:p>
            <w:r>
              <w:t>CMAPSS</w:t>
            </w:r>
          </w:p>
        </w:tc>
        <w:tc>
          <w:tcPr>
            <w:tcW w:type="dxa" w:w="4252"/>
          </w:tcPr>
          <w:p>
            <w:r>
              <w:t>FD001</w:t>
            </w:r>
          </w:p>
        </w:tc>
      </w:tr>
      <w:tr>
        <w:tc>
          <w:tcPr>
            <w:tcW w:type="dxa" w:w="1701"/>
          </w:tcPr>
          <w:p>
            <w:r>
              <w:t>chunk_id</w:t>
            </w:r>
          </w:p>
        </w:tc>
        <w:tc>
          <w:tcPr>
            <w:tcW w:type="dxa" w:w="1417"/>
          </w:tcPr>
          <w:p>
            <w:r>
              <w:t>str</w:t>
            </w:r>
          </w:p>
        </w:tc>
        <w:tc>
          <w:tcPr>
            <w:tcW w:type="dxa" w:w="2268"/>
          </w:tcPr>
          <w:p>
            <w:r>
              <w:t>toutes</w:t>
            </w:r>
          </w:p>
        </w:tc>
        <w:tc>
          <w:tcPr>
            <w:tcW w:type="dxa" w:w="4252"/>
          </w:tcPr>
          <w:p>
            <w:r>
              <w:t>cmapss:FD001:0 (même valeur que l'id)</w:t>
            </w:r>
          </w:p>
        </w:tc>
      </w:tr>
      <w:tr>
        <w:tc>
          <w:tcPr>
            <w:tcW w:type="dxa" w:w="1701"/>
          </w:tcPr>
          <w:p>
            <w:r>
              <w:t>chunk_index</w:t>
            </w:r>
          </w:p>
        </w:tc>
        <w:tc>
          <w:tcPr>
            <w:tcW w:type="dxa" w:w="1417"/>
          </w:tcPr>
          <w:p>
            <w:r>
              <w:t>str</w:t>
            </w:r>
          </w:p>
        </w:tc>
        <w:tc>
          <w:tcPr>
            <w:tcW w:type="dxa" w:w="2268"/>
          </w:tcPr>
          <w:p>
            <w:r>
              <w:t>toutes</w:t>
            </w:r>
          </w:p>
        </w:tc>
        <w:tc>
          <w:tcPr>
            <w:tcW w:type="dxa" w:w="4252"/>
          </w:tcPr>
          <w:p>
            <w:r>
              <w:t>0, 1, 2...</w:t>
            </w:r>
          </w:p>
        </w:tc>
      </w:tr>
      <w:tr>
        <w:tc>
          <w:tcPr>
            <w:tcW w:type="dxa" w:w="1701"/>
          </w:tcPr>
          <w:p>
            <w:r>
              <w:t>file_name</w:t>
            </w:r>
          </w:p>
        </w:tc>
        <w:tc>
          <w:tcPr>
            <w:tcW w:type="dxa" w:w="1417"/>
          </w:tcPr>
          <w:p>
            <w:r>
              <w:t>str</w:t>
            </w:r>
          </w:p>
        </w:tc>
        <w:tc>
          <w:tcPr>
            <w:tcW w:type="dxa" w:w="2268"/>
          </w:tcPr>
          <w:p>
            <w:r>
              <w:t>PDFs</w:t>
            </w:r>
          </w:p>
        </w:tc>
        <w:tc>
          <w:tcPr>
            <w:tcW w:type="dxa" w:w="4252"/>
          </w:tcPr>
          <w:p>
            <w:r>
              <w:t>schaeffler-gl1-large-size-bearings.pdf</w:t>
            </w:r>
          </w:p>
        </w:tc>
      </w:tr>
      <w:tr>
        <w:tc>
          <w:tcPr>
            <w:tcW w:type="dxa" w:w="1701"/>
          </w:tcPr>
          <w:p>
            <w:r>
              <w:t>page</w:t>
            </w:r>
          </w:p>
        </w:tc>
        <w:tc>
          <w:tcPr>
            <w:tcW w:type="dxa" w:w="1417"/>
          </w:tcPr>
          <w:p>
            <w:r>
              <w:t>str</w:t>
            </w:r>
          </w:p>
        </w:tc>
        <w:tc>
          <w:tcPr>
            <w:tcW w:type="dxa" w:w="2268"/>
          </w:tcPr>
          <w:p>
            <w:r>
              <w:t>PDFs</w:t>
            </w:r>
          </w:p>
        </w:tc>
        <w:tc>
          <w:tcPr>
            <w:tcW w:type="dxa" w:w="4252"/>
          </w:tcPr>
          <w:p>
            <w:r>
              <w:t>1, 2, 3... (1-indexed)</w:t>
            </w:r>
          </w:p>
        </w:tc>
      </w:tr>
    </w:tbl>
    <w:p>
      <w:pPr>
        <w:pStyle w:val="Heading2"/>
      </w:pPr>
      <w:r>
        <w:rPr>
          <w:sz w:val="28"/>
        </w:rPr>
        <w:t>Schéma physique (sur disque)</w:t>
      </w:r>
    </w:p>
    <w:p>
      <w:r>
        <w:rPr>
          <w:b w:val="0"/>
          <w:i w:val="0"/>
          <w:sz w:val="22"/>
        </w:rPr>
        <w:t>ChromaDB persiste les données dans un volume Docker géré. Structure interne approximative (peut changer selon la version de Chroma) :</w:t>
      </w:r>
    </w:p>
    <w:p>
      <w:r>
        <w:rPr>
          <w:rFonts w:ascii="Consolas" w:hAnsi="Consolas" w:cs="Consolas"/>
          <w:sz w:val="18"/>
        </w:rPr>
        <w:t>ikc-chroma-data/                # Docker volume, mounted at /chroma/chroma</w:t>
      </w:r>
    </w:p>
    <w:p>
      <w:r>
        <w:rPr>
          <w:rFonts w:ascii="Consolas" w:hAnsi="Consolas" w:cs="Consolas"/>
          <w:sz w:val="18"/>
        </w:rPr>
        <w:t>├── chroma.sqlite3                 # SQLite: noms de collections, métadonnées, IDs</w:t>
      </w:r>
    </w:p>
    <w:p>
      <w:r>
        <w:rPr>
          <w:rFonts w:ascii="Consolas" w:hAnsi="Consolas" w:cs="Consolas"/>
          <w:sz w:val="18"/>
        </w:rPr>
        <w:t>├── [collection-uuid]/             # Un sous-dossier par collection</w:t>
      </w:r>
    </w:p>
    <w:p>
      <w:r>
        <w:rPr>
          <w:rFonts w:ascii="Consolas" w:hAnsi="Consolas" w:cs="Consolas"/>
          <w:sz w:val="18"/>
        </w:rPr>
        <w:t>│   ├── index.bin                  # HNSW index (cosine similarity)</w:t>
      </w:r>
    </w:p>
    <w:p>
      <w:r>
        <w:rPr>
          <w:rFonts w:ascii="Consolas" w:hAnsi="Consolas" w:cs="Consolas"/>
          <w:sz w:val="18"/>
        </w:rPr>
        <w:t>│   ├── data.bin                   # Vecteurs bruts</w:t>
      </w:r>
    </w:p>
    <w:p>
      <w:r>
        <w:rPr>
          <w:rFonts w:ascii="Consolas" w:hAnsi="Consolas" w:cs="Consolas"/>
          <w:sz w:val="18"/>
        </w:rPr>
        <w:t>│   └── metadata.bin               # (optionnel) cache des documents</w:t>
      </w:r>
    </w:p>
    <w:p/>
    <w:p>
      <w:r>
        <w:rPr>
          <w:b w:val="0"/>
          <w:i w:val="0"/>
          <w:sz w:val="22"/>
        </w:rPr>
        <w:t>Toutes les écritures passent par l'API HTTP (host → container). Le vecteur store lui-même est un client Python chromadb 0.6.3 qui se connecte en HTTP sur localhost:8001. Aucun accès direct au filesystem.</w:t>
      </w:r>
    </w:p>
    <w:p>
      <w:pPr>
        <w:pStyle w:val="Heading2"/>
      </w:pPr>
      <w:r>
        <w:rPr>
          <w:sz w:val="28"/>
        </w:rPr>
        <w:t>Artefacts sur disque (audit trail + état)</w:t>
      </w:r>
    </w:p>
    <w:tbl>
      <w:tblPr>
        <w:tblStyle w:val="LightGrid-Accent1"/>
        <w:tblW w:type="auto" w:w="0"/>
        <w:jc w:val="center"/>
        <w:tblLook w:firstColumn="1" w:firstRow="1" w:lastColumn="0" w:lastRow="0" w:noHBand="0" w:noVBand="1" w:val="04A0"/>
      </w:tblPr>
      <w:tblGrid>
        <w:gridCol w:w="2409"/>
        <w:gridCol w:w="2409"/>
        <w:gridCol w:w="2409"/>
        <w:gridCol w:w="2409"/>
      </w:tblGrid>
      <w:tr>
        <w:tc>
          <w:tcPr>
            <w:tcW w:type="dxa" w:w="3118"/>
            <w:shd w:val="clear" w:color="auto" w:fill="1F4E79"/>
          </w:tcPr>
          <w:p>
            <w:r>
              <w:rPr>
                <w:b/>
                <w:color w:val="FFFFFF"/>
              </w:rPr>
              <w:t>Fichier</w:t>
            </w:r>
          </w:p>
        </w:tc>
        <w:tc>
          <w:tcPr>
            <w:tcW w:type="dxa" w:w="1701"/>
            <w:shd w:val="clear" w:color="auto" w:fill="1F4E79"/>
          </w:tcPr>
          <w:p>
            <w:r>
              <w:rPr>
                <w:b/>
                <w:color w:val="FFFFFF"/>
              </w:rPr>
              <w:t>Format</w:t>
            </w:r>
          </w:p>
        </w:tc>
        <w:tc>
          <w:tcPr>
            <w:tcW w:type="dxa" w:w="3402"/>
            <w:shd w:val="clear" w:color="auto" w:fill="1F4E79"/>
          </w:tcPr>
          <w:p>
            <w:r>
              <w:rPr>
                <w:b/>
                <w:color w:val="FFFFFF"/>
              </w:rPr>
              <w:t>Contenu</w:t>
            </w:r>
          </w:p>
        </w:tc>
        <w:tc>
          <w:tcPr>
            <w:tcW w:type="dxa" w:w="1417"/>
            <w:shd w:val="clear" w:color="auto" w:fill="1F4E79"/>
          </w:tcPr>
          <w:p>
            <w:r>
              <w:rPr>
                <w:b/>
                <w:color w:val="FFFFFF"/>
              </w:rPr>
              <w:t>Git</w:t>
            </w:r>
          </w:p>
        </w:tc>
      </w:tr>
      <w:tr>
        <w:tc>
          <w:tcPr>
            <w:tcW w:type="dxa" w:w="3118"/>
          </w:tcPr>
          <w:p>
            <w:r>
              <w:t>data/processed/chunks.jsonl</w:t>
            </w:r>
          </w:p>
        </w:tc>
        <w:tc>
          <w:tcPr>
            <w:tcW w:type="dxa" w:w="1701"/>
          </w:tcPr>
          <w:p>
            <w:r>
              <w:t>JSONL</w:t>
            </w:r>
          </w:p>
        </w:tc>
        <w:tc>
          <w:tcPr>
            <w:tcW w:type="dxa" w:w="3402"/>
          </w:tcPr>
          <w:p>
            <w:r>
              <w:t>Tous les chunks ingérés (id, text, source, metadata)</w:t>
            </w:r>
          </w:p>
        </w:tc>
        <w:tc>
          <w:tcPr>
            <w:tcW w:type="dxa" w:w="1417"/>
          </w:tcPr>
          <w:p>
            <w:r>
              <w:t>gitignored</w:t>
            </w:r>
          </w:p>
        </w:tc>
      </w:tr>
      <w:tr>
        <w:tc>
          <w:tcPr>
            <w:tcW w:type="dxa" w:w="3118"/>
          </w:tcPr>
          <w:p>
            <w:r>
              <w:t>data/processed/eval_dataset.jsonl</w:t>
            </w:r>
          </w:p>
        </w:tc>
        <w:tc>
          <w:tcPr>
            <w:tcW w:type="dxa" w:w="1701"/>
          </w:tcPr>
          <w:p>
            <w:r>
              <w:t>JSONL</w:t>
            </w:r>
          </w:p>
        </w:tc>
        <w:tc>
          <w:tcPr>
            <w:tcW w:type="dxa" w:w="3402"/>
          </w:tcPr>
          <w:p>
            <w:r>
              <w:t>30 Q&amp;R déterministes (seed=42) pour RAGAS</w:t>
            </w:r>
          </w:p>
        </w:tc>
        <w:tc>
          <w:tcPr>
            <w:tcW w:type="dxa" w:w="1417"/>
          </w:tcPr>
          <w:p>
            <w:r>
              <w:t>gitignored</w:t>
            </w:r>
          </w:p>
        </w:tc>
      </w:tr>
      <w:tr>
        <w:tc>
          <w:tcPr>
            <w:tcW w:type="dxa" w:w="3118"/>
          </w:tcPr>
          <w:p>
            <w:r>
              <w:t>reports/eval_&lt;UTC&gt;.json</w:t>
            </w:r>
          </w:p>
        </w:tc>
        <w:tc>
          <w:tcPr>
            <w:tcW w:type="dxa" w:w="1701"/>
          </w:tcPr>
          <w:p>
            <w:r>
              <w:t>JSON</w:t>
            </w:r>
          </w:p>
        </w:tc>
        <w:tc>
          <w:tcPr>
            <w:tcW w:type="dxa" w:w="3402"/>
          </w:tcPr>
          <w:p>
            <w:r>
              <w:t>Snapshot RAGAS immuable (timestamp, n_samples, metrics)</w:t>
            </w:r>
          </w:p>
        </w:tc>
        <w:tc>
          <w:tcPr>
            <w:tcW w:type="dxa" w:w="1417"/>
          </w:tcPr>
          <w:p>
            <w:r>
              <w:t>gitignored</w:t>
            </w:r>
          </w:p>
        </w:tc>
      </w:tr>
      <w:tr>
        <w:tc>
          <w:tcPr>
            <w:tcW w:type="dxa" w:w="3118"/>
          </w:tcPr>
          <w:p>
            <w:r>
              <w:t>~/.cache/huggingface/hub/</w:t>
            </w:r>
          </w:p>
        </w:tc>
        <w:tc>
          <w:tcPr>
            <w:tcW w:type="dxa" w:w="1701"/>
          </w:tcPr>
          <w:p>
            <w:r>
              <w:t>HF cache</w:t>
            </w:r>
          </w:p>
        </w:tc>
        <w:tc>
          <w:tcPr>
            <w:tcW w:type="dxa" w:w="3402"/>
          </w:tcPr>
          <w:p>
            <w:r>
              <w:t>Poids des modèles (Qwen2.5 + bge-small, ~5 Go)</w:t>
            </w:r>
          </w:p>
        </w:tc>
        <w:tc>
          <w:tcPr>
            <w:tcW w:type="dxa" w:w="1417"/>
          </w:tcPr>
          <w:p>
            <w:r>
              <w:t>hors projet</w:t>
            </w:r>
          </w:p>
        </w:tc>
      </w:tr>
      <w:tr>
        <w:tc>
          <w:tcPr>
            <w:tcW w:type="dxa" w:w="3118"/>
          </w:tcPr>
          <w:p>
            <w:r>
              <w:t>logs/app.log</w:t>
            </w:r>
          </w:p>
        </w:tc>
        <w:tc>
          <w:tcPr>
            <w:tcW w:type="dxa" w:w="1701"/>
          </w:tcPr>
          <w:p>
            <w:r>
              <w:t>JSON (rotation 10 MB)</w:t>
            </w:r>
          </w:p>
        </w:tc>
        <w:tc>
          <w:tcPr>
            <w:tcW w:type="dxa" w:w="3402"/>
          </w:tcPr>
          <w:p>
            <w:r>
              <w:t>Logs structurés (question_id, latency, chunk_count)</w:t>
            </w:r>
          </w:p>
        </w:tc>
        <w:tc>
          <w:tcPr>
            <w:tcW w:type="dxa" w:w="1417"/>
          </w:tcPr>
          <w:p>
            <w:r>
              <w:t>gitignored</w:t>
            </w:r>
          </w:p>
        </w:tc>
      </w:tr>
    </w:tbl>
    <w:p>
      <w:pPr>
        <w:pStyle w:val="Heading1"/>
      </w:pPr>
      <w:r>
        <w:rPr>
          <w:sz w:val="36"/>
        </w:rPr>
        <w:t>6. Détail des pipelines</w:t>
      </w:r>
    </w:p>
    <w:p>
      <w:pPr>
        <w:pStyle w:val="Heading2"/>
      </w:pPr>
      <w:r>
        <w:rPr>
          <w:sz w:val="28"/>
        </w:rPr>
        <w:t>6.1 Ingestion (one-shot)</w:t>
      </w:r>
    </w:p>
    <w:p>
      <w:r>
        <w:rPr>
          <w:rFonts w:ascii="Consolas" w:hAnsi="Consolas" w:cs="Consolas"/>
          <w:sz w:val="18"/>
        </w:rPr>
        <w:t>data/raw/cmapss/  +  data/raw/pdf/   (sources)</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src/ingestion/cmapss_loader.py  →  pd.DataFrame (26 cols × N rows)</w:t>
      </w:r>
    </w:p>
    <w:p>
      <w:r>
        <w:rPr>
          <w:rFonts w:ascii="Consolas" w:hAnsi="Consolas" w:cs="Consolas"/>
          <w:sz w:val="18"/>
        </w:rPr>
        <w:t xml:space="preserve">   src/ingestion/pdf_loader.py     →  list[PdfPage]  (PyMuPDF)</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src/ingestion/pipeline._dataframe_to_text()  →  text markdown per subset</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src/ingestion/chunker.recursive_split()        →  list[Chunk]  (500 tok / 50 overlap)</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data/processed/chunks.jsonl                  (audit trail)</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src/rag/embeddings.Embedder.embed(texts)      →  list[list[float]]  (384-dim, MPS)</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src/rag/vectorstore.VectorStore.upsert()      →  HTTP :8001 → Chroma collection</w:t>
      </w:r>
    </w:p>
    <w:p/>
    <w:p>
      <w:pPr>
        <w:pStyle w:val="Heading2"/>
      </w:pPr>
      <w:r>
        <w:rPr>
          <w:sz w:val="28"/>
        </w:rPr>
        <w:t>6.2 Requête (par utilisateur)</w:t>
      </w:r>
    </w:p>
    <w:p>
      <w:r>
        <w:rPr>
          <w:rFonts w:ascii="Consolas" w:hAnsi="Consolas" w:cs="Consolas"/>
          <w:sz w:val="18"/>
        </w:rPr>
        <w:t>User question</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src/ui/streamlit_app.py  →  HTTP POST /query</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src/api/routes/query.py  →  src.rag.chain.RAGChain.query()</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HybridRetriever.retrieve()      (over-fetch ×3 if reranker enabled)</w:t>
      </w:r>
    </w:p>
    <w:p>
      <w:r>
        <w:rPr>
          <w:rFonts w:ascii="Consolas" w:hAnsi="Consolas" w:cs="Consolas"/>
          <w:sz w:val="18"/>
        </w:rPr>
        <w:t xml:space="preserve">        │</w:t>
      </w:r>
    </w:p>
    <w:p>
      <w:r>
        <w:rPr>
          <w:rFonts w:ascii="Consolas" w:hAnsi="Consolas" w:cs="Consolas"/>
          <w:sz w:val="18"/>
        </w:rPr>
        <w:t xml:space="preserve">        ├── dense  →  Chroma.cosine</w:t>
      </w:r>
    </w:p>
    <w:p>
      <w:r>
        <w:rPr>
          <w:rFonts w:ascii="Consolas" w:hAnsi="Consolas" w:cs="Consolas"/>
          <w:sz w:val="18"/>
        </w:rPr>
        <w:t xml:space="preserve">        └── BM25   →  in-memory index</w:t>
      </w:r>
    </w:p>
    <w:p>
      <w:r>
        <w:rPr>
          <w:rFonts w:ascii="Consolas" w:hAnsi="Consolas" w:cs="Consolas"/>
          <w:sz w:val="18"/>
        </w:rPr>
        <w:t xml:space="preserve">                ↓</w:t>
      </w:r>
    </w:p>
    <w:p>
      <w:r>
        <w:rPr>
          <w:rFonts w:ascii="Consolas" w:hAnsi="Consolas" w:cs="Consolas"/>
          <w:sz w:val="18"/>
        </w:rPr>
        <w:t xml:space="preserve">            RRF(dense, BM25)  →  top_k candidates</w:t>
      </w:r>
    </w:p>
    <w:p>
      <w:r>
        <w:rPr>
          <w:rFonts w:ascii="Consolas" w:hAnsi="Consolas" w:cs="Consolas"/>
          <w:sz w:val="18"/>
        </w:rPr>
        <w:t xml:space="preserve">                ↓</w:t>
      </w:r>
    </w:p>
    <w:p>
      <w:r>
        <w:rPr>
          <w:rFonts w:ascii="Consolas" w:hAnsi="Consolas" w:cs="Consolas"/>
          <w:sz w:val="18"/>
        </w:rPr>
        <w:t xml:space="preserve">            Reranker.rerank()  (if enabled)  →  top_k trimmed</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RAGChain._format_context()  →  string</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prompt + context + question  →  MLXChatModel.invoke()</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Qwen2.5-7B-Instruct (4-bit, MLX)  →  answer (2-5s)</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RAGResponse{answer, sources}  →  JSON  →  Streamlit UI</w:t>
      </w:r>
    </w:p>
    <w:p/>
    <w:p>
      <w:pPr>
        <w:pStyle w:val="Heading2"/>
      </w:pPr>
      <w:r>
        <w:rPr>
          <w:sz w:val="28"/>
        </w:rPr>
        <w:t>6.3 Évaluation (par release)</w:t>
      </w:r>
    </w:p>
    <w:p>
      <w:r>
        <w:rPr>
          <w:rFonts w:ascii="Consolas" w:hAnsi="Consolas" w:cs="Consolas"/>
          <w:sz w:val="18"/>
        </w:rPr>
        <w:t>data/processed/eval_dataset.jsonl   (30 Q&amp;R, seed=42)</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src/eval/ragas_runner.run()</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Pour chaque Q → RAGChain.query(Q)  →  (answer, contexts, ground_truth)</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ragas.evaluate(dataset, metrics=[</w:t>
      </w:r>
    </w:p>
    <w:p>
      <w:r>
        <w:rPr>
          <w:rFonts w:ascii="Consolas" w:hAnsi="Consolas" w:cs="Consolas"/>
          <w:sz w:val="18"/>
        </w:rPr>
        <w:t xml:space="preserve">        faithfulness,             # answer fidèle au contexte</w:t>
      </w:r>
    </w:p>
    <w:p>
      <w:r>
        <w:rPr>
          <w:rFonts w:ascii="Consolas" w:hAnsi="Consolas" w:cs="Consolas"/>
          <w:sz w:val="18"/>
        </w:rPr>
        <w:t xml:space="preserve">        answer_relevancy,          # answer pertinente à la question</w:t>
      </w:r>
    </w:p>
    <w:p>
      <w:r>
        <w:rPr>
          <w:rFonts w:ascii="Consolas" w:hAnsi="Consolas" w:cs="Consolas"/>
          <w:sz w:val="18"/>
        </w:rPr>
        <w:t xml:space="preserve">        context_precision,         # les bons chunks ont été retrievés</w:t>
      </w:r>
    </w:p>
    <w:p>
      <w:r>
        <w:rPr>
          <w:rFonts w:ascii="Consolas" w:hAnsi="Consolas" w:cs="Consolas"/>
          <w:sz w:val="18"/>
        </w:rPr>
        <w:t xml:space="preserve">        context_recall,            # tous les chunks nécessaires ont été retrievés</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w:t>
      </w:r>
    </w:p>
    <w:p>
      <w:r>
        <w:rPr>
          <w:rFonts w:ascii="Consolas" w:hAnsi="Consolas" w:cs="Consolas"/>
          <w:sz w:val="18"/>
        </w:rPr>
        <w:t xml:space="preserve">   reports/eval_&lt;UTC&gt;.json   (immutable, jamais overwritten)</w:t>
      </w:r>
    </w:p>
    <w:p/>
    <w:p>
      <w:r>
        <w:br w:type="page"/>
      </w:r>
    </w:p>
    <w:p>
      <w:pPr>
        <w:pStyle w:val="Heading1"/>
      </w:pPr>
      <w:r>
        <w:rPr>
          <w:sz w:val="36"/>
        </w:rPr>
        <w:t>7. Conformité EU AI Act (Regulation 2024/1689)</w:t>
      </w:r>
    </w:p>
    <w:p>
      <w:r>
        <w:rPr>
          <w:b w:val="0"/>
          <w:i w:val="0"/>
          <w:sz w:val="22"/>
        </w:rPr>
        <w:t>L'AI Act est entré en vigueur le 2 février 2025 ; la plupart des obligations s'appliquent à partir du 2 août 2026. Pour un projet destiné à un usage en France, c'est un signal fort de montrer qu'on y a pensé dès la conception.</w:t>
      </w:r>
    </w:p>
    <w:tbl>
      <w:tblPr>
        <w:tblStyle w:val="LightGrid-Accent1"/>
        <w:tblW w:type="auto" w:w="0"/>
        <w:jc w:val="center"/>
        <w:tblLook w:firstColumn="1" w:firstRow="1" w:lastColumn="0" w:lastRow="0" w:noHBand="0" w:noVBand="1" w:val="04A0"/>
      </w:tblPr>
      <w:tblGrid>
        <w:gridCol w:w="4819"/>
        <w:gridCol w:w="4819"/>
      </w:tblGrid>
      <w:tr>
        <w:tc>
          <w:tcPr>
            <w:tcW w:type="dxa" w:w="2268"/>
            <w:shd w:val="clear" w:color="auto" w:fill="1F4E79"/>
          </w:tcPr>
          <w:p>
            <w:r>
              <w:rPr>
                <w:b/>
                <w:color w:val="FFFFFF"/>
              </w:rPr>
              <w:t>Sujet AI Act</w:t>
            </w:r>
          </w:p>
        </w:tc>
        <w:tc>
          <w:tcPr>
            <w:tcW w:type="dxa" w:w="7370"/>
            <w:shd w:val="clear" w:color="auto" w:fill="1F4E79"/>
          </w:tcPr>
          <w:p>
            <w:r>
              <w:rPr>
                <w:b/>
                <w:color w:val="FFFFFF"/>
              </w:rPr>
              <w:t>Notre cas</w:t>
            </w:r>
          </w:p>
        </w:tc>
      </w:tr>
      <w:tr>
        <w:tc>
          <w:tcPr>
            <w:tcW w:type="dxa" w:w="2268"/>
          </w:tcPr>
          <w:p>
            <w:r>
              <w:t>Classification du système</w:t>
            </w:r>
          </w:p>
        </w:tc>
        <w:tc>
          <w:tcPr>
            <w:tcW w:type="dxa" w:w="7370"/>
          </w:tcPr>
          <w:p>
            <w:r>
              <w:t>Risque minimal + Article 50 (transparency chatbot). Pas de décision sur personnes, pas de biométrie, pas d'éducation/emploi/justice.</w:t>
            </w:r>
          </w:p>
        </w:tc>
      </w:tr>
      <w:tr>
        <w:tc>
          <w:tcPr>
            <w:tcW w:type="dxa" w:w="2268"/>
          </w:tcPr>
          <w:p>
            <w:r>
              <w:t>Article 50 — Transparency</w:t>
            </w:r>
          </w:p>
        </w:tc>
        <w:tc>
          <w:tcPr>
            <w:tcW w:type="dxa" w:w="7370"/>
          </w:tcPr>
          <w:p>
            <w:r>
              <w:t>L'UI informe l'utilisateur (titre, sidebar Hardware). Le LLM cite ses sources (chunk_id). 'I don't know' sur les questions hors-scope.</w:t>
            </w:r>
          </w:p>
        </w:tc>
      </w:tr>
      <w:tr>
        <w:tc>
          <w:tcPr>
            <w:tcW w:type="dxa" w:w="2268"/>
          </w:tcPr>
          <w:p>
            <w:r>
              <w:t>Article 9 — Risk management</w:t>
            </w:r>
          </w:p>
        </w:tc>
        <w:tc>
          <w:tcPr>
            <w:tcW w:type="dxa" w:w="7370"/>
          </w:tcPr>
          <w:p>
            <w:r>
              <w:t>Risk register à 6 risques (hallucination, prompt injection, fuite, biais, dérive, refus abusif) avec mitigations concrètes.</w:t>
            </w:r>
          </w:p>
        </w:tc>
      </w:tr>
      <w:tr>
        <w:tc>
          <w:tcPr>
            <w:tcW w:type="dxa" w:w="2268"/>
          </w:tcPr>
          <w:p>
            <w:r>
              <w:t>Article 10 — Data governance</w:t>
            </w:r>
          </w:p>
        </w:tc>
        <w:tc>
          <w:tcPr>
            <w:tcW w:type="dxa" w:w="7370"/>
          </w:tcPr>
          <w:p>
            <w:r>
              <w:t>Pas de PII (corpus = docs techniques NASA + catalogues industriels). Provenance documentée (data/README.md, INVENTORY.md). Licence vérifiée.</w:t>
            </w:r>
          </w:p>
        </w:tc>
      </w:tr>
      <w:tr>
        <w:tc>
          <w:tcPr>
            <w:tcW w:type="dxa" w:w="2268"/>
          </w:tcPr>
          <w:p>
            <w:r>
              <w:t>Articles 13-15</w:t>
            </w:r>
          </w:p>
        </w:tc>
        <w:tc>
          <w:tcPr>
            <w:tcW w:type="dxa" w:w="7370"/>
          </w:tcPr>
          <w:p>
            <w:r>
              <w:t>Documentation (README, docs/, docstrings), human oversight (sources visibles, agent désactivable), robustness (pytest, RAGAS, CI, logs JSON).</w:t>
            </w:r>
          </w:p>
        </w:tc>
      </w:tr>
      <w:tr>
        <w:tc>
          <w:tcPr>
            <w:tcW w:type="dxa" w:w="2268"/>
          </w:tcPr>
          <w:p>
            <w:r>
              <w:t>Article 53 — GPAI deployer</w:t>
            </w:r>
          </w:p>
        </w:tc>
        <w:tc>
          <w:tcPr>
            <w:tcW w:type="dxa" w:w="7370"/>
          </w:tcPr>
          <w:p>
            <w:r>
              <w:t>On suit les instructions Mistral/Qwen, on n'altère pas le modèle. Mistral/Qwen supportent les obligations de transparence.</w:t>
            </w:r>
          </w:p>
        </w:tc>
      </w:tr>
      <w:tr>
        <w:tc>
          <w:tcPr>
            <w:tcW w:type="dxa" w:w="2268"/>
          </w:tcPr>
          <w:p>
            <w:r>
              <w:t>RGPD</w:t>
            </w:r>
          </w:p>
        </w:tc>
        <w:tc>
          <w:tcPr>
            <w:tcW w:type="dxa" w:w="7370"/>
          </w:tcPr>
          <w:p>
            <w:r>
              <w:t>Pas de données personnelles, pas de profilage, pas de décision automatisée → pas de registre des traitements ni d'AIPD applicable.</w:t>
            </w:r>
          </w:p>
        </w:tc>
      </w:tr>
    </w:tbl>
    <w:p>
      <w:pPr>
        <w:pStyle w:val="Heading1"/>
      </w:pPr>
      <w:r>
        <w:rPr>
          <w:sz w:val="36"/>
        </w:rPr>
        <w:t>8. Démarrage rapide</w:t>
      </w:r>
    </w:p>
    <w:p>
      <w:r>
        <w:rPr>
          <w:b w:val="0"/>
          <w:i w:val="0"/>
          <w:sz w:val="22"/>
        </w:rPr>
        <w:t>Prérequis : macOS Apple Silicon (M1/M2/M3/M4/M5), Python 3.12+, Docker Desktop, ~6 Go d'espace disque (modèles).</w:t>
      </w:r>
    </w:p>
    <w:p>
      <w:r>
        <w:rPr>
          <w:rFonts w:ascii="Consolas" w:hAnsi="Consolas" w:cs="Consolas"/>
          <w:sz w:val="18"/>
        </w:rPr>
        <w:t>git clone https://github.com/PDUCLOS/industrial-knowledge-copilot</w:t>
      </w:r>
    </w:p>
    <w:p>
      <w:r>
        <w:rPr>
          <w:rFonts w:ascii="Consolas" w:hAnsi="Consolas" w:cs="Consolas"/>
          <w:sz w:val="18"/>
        </w:rPr>
        <w:t>cd industrial-knowledge-copilot</w:t>
      </w:r>
    </w:p>
    <w:p>
      <w:r>
        <w:rPr>
          <w:rFonts w:ascii="Consolas" w:hAnsi="Consolas" w:cs="Consolas"/>
          <w:sz w:val="18"/>
        </w:rPr>
        <w:t xml:space="preserve"> </w:t>
      </w:r>
    </w:p>
    <w:p>
      <w:r>
        <w:rPr>
          <w:rFonts w:ascii="Consolas" w:hAnsi="Consolas" w:cs="Consolas"/>
          <w:sz w:val="18"/>
        </w:rPr>
        <w:t>make setup              # venv + ~24 dépendances (~3 min)</w:t>
      </w:r>
    </w:p>
    <w:p>
      <w:r>
        <w:rPr>
          <w:rFonts w:ascii="Consolas" w:hAnsi="Consolas" w:cs="Consolas"/>
          <w:sz w:val="18"/>
        </w:rPr>
        <w:t>make pull-models        # download Qwen2.5-7B + bge-small (~5 Go, ~30 min)</w:t>
      </w:r>
    </w:p>
    <w:p>
      <w:r>
        <w:rPr>
          <w:rFonts w:ascii="Consolas" w:hAnsi="Consolas" w:cs="Consolas"/>
          <w:sz w:val="18"/>
        </w:rPr>
        <w:t>make data               # download NASA CMAPSS (~12 Mo)</w:t>
      </w:r>
    </w:p>
    <w:p>
      <w:r>
        <w:rPr>
          <w:rFonts w:ascii="Consolas" w:hAnsi="Consolas" w:cs="Consolas"/>
          <w:sz w:val="18"/>
        </w:rPr>
        <w:t>make chroma-up          # démarre ChromaDB sur :8001</w:t>
      </w:r>
    </w:p>
    <w:p>
      <w:r>
        <w:rPr>
          <w:rFonts w:ascii="Consolas" w:hAnsi="Consolas" w:cs="Consolas"/>
          <w:sz w:val="18"/>
        </w:rPr>
        <w:t xml:space="preserve"> </w:t>
      </w:r>
    </w:p>
    <w:p>
      <w:r>
        <w:rPr>
          <w:rFonts w:ascii="Consolas" w:hAnsi="Consolas" w:cs="Consolas"/>
          <w:sz w:val="18"/>
        </w:rPr>
        <w:t>make ingest             # construit l'index vectoriel (~5 min)</w:t>
      </w:r>
    </w:p>
    <w:p>
      <w:r>
        <w:rPr>
          <w:rFonts w:ascii="Consolas" w:hAnsi="Consolas" w:cs="Consolas"/>
          <w:sz w:val="18"/>
        </w:rPr>
        <w:t>make eval-dataset       # génère les 30 Q&amp;R</w:t>
      </w:r>
    </w:p>
    <w:p>
      <w:r>
        <w:rPr>
          <w:rFonts w:ascii="Consolas" w:hAnsi="Consolas" w:cs="Consolas"/>
          <w:sz w:val="18"/>
        </w:rPr>
        <w:t xml:space="preserve"> </w:t>
      </w:r>
    </w:p>
    <w:p>
      <w:r>
        <w:rPr>
          <w:rFonts w:ascii="Consolas" w:hAnsi="Consolas" w:cs="Consolas"/>
          <w:sz w:val="18"/>
        </w:rPr>
        <w:t># Dans 2 terminaux séparés</w:t>
      </w:r>
    </w:p>
    <w:p>
      <w:r>
        <w:rPr>
          <w:rFonts w:ascii="Consolas" w:hAnsi="Consolas" w:cs="Consolas"/>
          <w:sz w:val="18"/>
        </w:rPr>
        <w:t>make api                # FastAPI :8000</w:t>
      </w:r>
    </w:p>
    <w:p>
      <w:r>
        <w:rPr>
          <w:rFonts w:ascii="Consolas" w:hAnsi="Consolas" w:cs="Consolas"/>
          <w:sz w:val="18"/>
        </w:rPr>
        <w:t>make ui                 # Streamlit :8501</w:t>
      </w:r>
    </w:p>
    <w:p>
      <w:r>
        <w:rPr>
          <w:rFonts w:ascii="Consolas" w:hAnsi="Consolas" w:cs="Consolas"/>
          <w:sz w:val="18"/>
        </w:rPr>
        <w:t xml:space="preserve"> </w:t>
      </w:r>
    </w:p>
    <w:p>
      <w:r>
        <w:rPr>
          <w:rFonts w:ascii="Consolas" w:hAnsi="Consolas" w:cs="Consolas"/>
          <w:sz w:val="18"/>
        </w:rPr>
        <w:t># Optionnel : baseline RAGAS</w:t>
      </w:r>
    </w:p>
    <w:p>
      <w:r>
        <w:rPr>
          <w:rFonts w:ascii="Consolas" w:hAnsi="Consolas" w:cs="Consolas"/>
          <w:sz w:val="18"/>
        </w:rPr>
        <w:t>make eval               # produit reports/eval_&lt;UTC&gt;.json</w:t>
      </w:r>
    </w:p>
    <w:p/>
    <w:p>
      <w:r>
        <w:rPr>
          <w:b w:val="0"/>
          <w:i w:val="0"/>
          <w:sz w:val="22"/>
        </w:rPr>
        <w:t>Ouvrez http://localhost:8501 et posez la première question :</w:t>
      </w:r>
    </w:p>
    <w:tbl>
      <w:tblPr>
        <w:tblW w:type="auto" w:w="0"/>
        <w:jc w:val="center"/>
        <w:tblLook w:firstColumn="1" w:firstRow="1" w:lastColumn="0" w:lastRow="0" w:noHBand="0" w:noVBand="1" w:val="04A0"/>
      </w:tblPr>
      <w:tblGrid>
        <w:gridCol w:w="9638"/>
      </w:tblGrid>
      <w:tr>
        <w:tc>
          <w:tcPr>
            <w:tcW w:type="dxa" w:w="9638"/>
            <w:shd w:val="clear" w:color="auto" w:fill="D9EAD3"/>
          </w:tcPr>
          <w:p>
            <w:r>
              <w:rPr>
                <w:i/>
                <w:sz w:val="22"/>
              </w:rPr>
              <w:t>« How many turbofan engines are in the FD001 training set? »</w:t>
              <w:br/>
              <w:t>Le copilote répond en quelques secondes avec les sources visibles dans la sidebar (chunks + score + méthode de retrieval).</w:t>
            </w:r>
          </w:p>
        </w:tc>
      </w:tr>
    </w:tbl>
    <w:p>
      <w:pPr>
        <w:pStyle w:val="Heading1"/>
      </w:pPr>
      <w:r>
        <w:rPr>
          <w:sz w:val="36"/>
        </w:rPr>
        <w:t>9. Bilan technique : 20 bugs trouvés et corrigés</w:t>
      </w:r>
    </w:p>
    <w:p>
      <w:r>
        <w:rPr>
          <w:b w:val="0"/>
          <w:i w:val="0"/>
          <w:sz w:val="22"/>
        </w:rPr>
        <w:t>Le projet n'a jamais tourné avant cette session de debug. L'audit a détecté 20 bugs dans 5 catégories. Tous ont été corrigés et l'argument est narrable en entretien :</w:t>
      </w:r>
    </w:p>
    <w:tbl>
      <w:tblPr>
        <w:tblStyle w:val="LightGrid-Accent1"/>
        <w:tblW w:type="auto" w:w="0"/>
        <w:jc w:val="center"/>
        <w:tblLook w:firstColumn="1" w:firstRow="1" w:lastColumn="0" w:lastRow="0" w:noHBand="0" w:noVBand="1" w:val="04A0"/>
      </w:tblPr>
      <w:tblGrid>
        <w:gridCol w:w="3213"/>
        <w:gridCol w:w="3213"/>
        <w:gridCol w:w="3213"/>
      </w:tblGrid>
      <w:tr>
        <w:tc>
          <w:tcPr>
            <w:tcW w:type="dxa" w:w="2835"/>
            <w:shd w:val="clear" w:color="auto" w:fill="1F4E79"/>
          </w:tcPr>
          <w:p>
            <w:r>
              <w:rPr>
                <w:b/>
                <w:color w:val="FFFFFF"/>
              </w:rPr>
              <w:t>Catégorie</w:t>
            </w:r>
          </w:p>
        </w:tc>
        <w:tc>
          <w:tcPr>
            <w:tcW w:type="dxa" w:w="850"/>
            <w:shd w:val="clear" w:color="auto" w:fill="1F4E79"/>
          </w:tcPr>
          <w:p>
            <w:r>
              <w:rPr>
                <w:b/>
                <w:color w:val="FFFFFF"/>
              </w:rPr>
              <w:t>Bugs</w:t>
            </w:r>
          </w:p>
        </w:tc>
        <w:tc>
          <w:tcPr>
            <w:tcW w:type="dxa" w:w="5953"/>
            <w:shd w:val="clear" w:color="auto" w:fill="1F4E79"/>
          </w:tcPr>
          <w:p>
            <w:r>
              <w:rPr>
                <w:b/>
                <w:color w:val="FFFFFF"/>
              </w:rPr>
              <w:t>Exemples</w:t>
            </w:r>
          </w:p>
        </w:tc>
      </w:tr>
      <w:tr>
        <w:tc>
          <w:tcPr>
            <w:tcW w:type="dxa" w:w="2835"/>
          </w:tcPr>
          <w:p>
            <w:r>
              <w:t>Logique applicative</w:t>
            </w:r>
          </w:p>
        </w:tc>
        <w:tc>
          <w:tcPr>
            <w:tcW w:type="dxa" w:w="850"/>
          </w:tcPr>
          <w:p>
            <w:r>
              <w:t>6</w:t>
            </w:r>
          </w:p>
        </w:tc>
        <w:tc>
          <w:tcPr>
            <w:tcW w:type="dxa" w:w="5953"/>
          </w:tcPr>
          <w:p>
            <w:r>
              <w:t>chain.py: import manquant ; double retrieval + mauvais type LCEL ; reranker jamais déclenché ; tool multi-args incompatible ReAct</w:t>
            </w:r>
          </w:p>
        </w:tc>
      </w:tr>
      <w:tr>
        <w:tc>
          <w:tcPr>
            <w:tcW w:type="dxa" w:w="2835"/>
          </w:tcPr>
          <w:p>
            <w:r>
              <w:t>Dépendances PyPI</w:t>
            </w:r>
          </w:p>
        </w:tc>
        <w:tc>
          <w:tcPr>
            <w:tcW w:type="dxa" w:w="850"/>
          </w:tcPr>
          <w:p>
            <w:r>
              <w:t>5</w:t>
            </w:r>
          </w:p>
        </w:tc>
        <w:tc>
          <w:tcPr>
            <w:tcW w:type="dxa" w:w="5953"/>
          </w:tcPr>
          <w:p>
            <w:r>
              <w:t>mlx==0.24.0 (retirée) ; langchain-hub (mauvais nom) ; langchain-chroma forçait chromadb&lt;0.7 ; numpy pin conflict ; rank-bm25 implicite</w:t>
            </w:r>
          </w:p>
        </w:tc>
      </w:tr>
      <w:tr>
        <w:tc>
          <w:tcPr>
            <w:tcW w:type="dxa" w:w="2835"/>
          </w:tcPr>
          <w:p>
            <w:r>
              <w:t>Configuration</w:t>
            </w:r>
          </w:p>
        </w:tc>
        <w:tc>
          <w:tcPr>
            <w:tcW w:type="dxa" w:w="850"/>
          </w:tcPr>
          <w:p>
            <w:r>
              <w:t>3</w:t>
            </w:r>
          </w:p>
        </w:tc>
        <w:tc>
          <w:tcPr>
            <w:tcW w:type="dxa" w:w="5953"/>
          </w:tcPr>
          <w:p>
            <w:r>
              <w:t>MLX_MODEL_REPO jamais défini dans Makefile ; embeddings pointait vers un repo MLX-quantized incompatible avec sentence-transformers</w:t>
            </w:r>
          </w:p>
        </w:tc>
      </w:tr>
      <w:tr>
        <w:tc>
          <w:tcPr>
            <w:tcW w:type="dxa" w:w="2835"/>
          </w:tcPr>
          <w:p>
            <w:r>
              <w:t>Runtime (visibles seulement en exécution)</w:t>
            </w:r>
          </w:p>
        </w:tc>
        <w:tc>
          <w:tcPr>
            <w:tcW w:type="dxa" w:w="850"/>
          </w:tcPr>
          <w:p>
            <w:r>
              <w:t>5</w:t>
            </w:r>
          </w:p>
        </w:tc>
        <w:tc>
          <w:tcPr>
            <w:tcW w:type="dxa" w:w="5953"/>
          </w:tcPr>
          <w:p>
            <w:r>
              <w:t>readme.txt NASA en cp1252 ; chunk_id PDF sans page number ; llm.py state singleton pydantic v2 incompatible ; template Mistral sans role system ; _stream() mauvais type return</w:t>
            </w:r>
          </w:p>
        </w:tc>
      </w:tr>
      <w:tr>
        <w:tc>
          <w:tcPr>
            <w:tcW w:type="dxa" w:w="2835"/>
          </w:tcPr>
          <w:p>
            <w:r>
              <w:t>Agent / ReAct</w:t>
            </w:r>
          </w:p>
        </w:tc>
        <w:tc>
          <w:tcPr>
            <w:tcW w:type="dxa" w:w="850"/>
          </w:tcPr>
          <w:p>
            <w:r>
              <w:t>1</w:t>
            </w:r>
          </w:p>
        </w:tc>
        <w:tc>
          <w:tcPr>
            <w:tcW w:type="dxa" w:w="5953"/>
          </w:tcPr>
          <w:p>
            <w:r>
              <w:t>early_stopping_method retiré des versions récentes de LangChain</w:t>
            </w:r>
          </w:p>
        </w:tc>
      </w:tr>
    </w:tbl>
    <w:tbl>
      <w:tblPr>
        <w:tblW w:type="auto" w:w="0"/>
        <w:jc w:val="center"/>
        <w:tblLook w:firstColumn="1" w:firstRow="1" w:lastColumn="0" w:lastRow="0" w:noHBand="0" w:noVBand="1" w:val="04A0"/>
      </w:tblPr>
      <w:tblGrid>
        <w:gridCol w:w="9638"/>
      </w:tblGrid>
      <w:tr>
        <w:tc>
          <w:tcPr>
            <w:tcW w:type="dxa" w:w="9638"/>
            <w:shd w:val="clear" w:color="auto" w:fill="E8F0FE"/>
          </w:tcPr>
          <w:p>
            <w:r>
              <w:rPr>
                <w:i/>
                <w:sz w:val="22"/>
              </w:rPr>
              <w:t>Argument entretien : la différence entre « le code compile » et « le système marche en production » est exactement ce qu'un recruteur IA/MLOps veut voir.</w:t>
            </w:r>
          </w:p>
        </w:tc>
      </w:tr>
    </w:tbl>
    <w:p>
      <w:pPr>
        <w:pStyle w:val="Heading1"/>
      </w:pPr>
      <w:r>
        <w:rPr>
          <w:sz w:val="36"/>
        </w:rPr>
        <w:t>10. Perspectives et prochaines étapes</w:t>
      </w:r>
    </w:p>
    <w:p>
      <w:pPr>
        <w:pStyle w:val="ListBullet"/>
        <w:ind w:left="283"/>
      </w:pPr>
      <w:r>
        <w:rPr>
          <w:sz w:val="22"/>
        </w:rPr>
        <w:t>Lancer `make eval` pour obtenir un vrai baseline RAGAS chiffré (les objectifs du README sont aspirationals, pas mesurés)</w:t>
      </w:r>
    </w:p>
    <w:p>
      <w:pPr>
        <w:pStyle w:val="ListBullet"/>
        <w:ind w:left="283"/>
      </w:pPr>
      <w:r>
        <w:rPr>
          <w:sz w:val="22"/>
        </w:rPr>
        <w:t>Pousser le repo sur GitHub en public pour avoir une URL partageable en entretien</w:t>
      </w:r>
    </w:p>
    <w:p>
      <w:pPr>
        <w:pStyle w:val="ListBullet"/>
        <w:ind w:left="283"/>
      </w:pPr>
      <w:r>
        <w:rPr>
          <w:sz w:val="22"/>
        </w:rPr>
        <w:t>W4 tuning : ajuster le system prompt, essayer Mistral-7B v0.3 ou Llama-3-8B si Qwen2.5 plafonne, tester un reranker plus gros</w:t>
      </w:r>
    </w:p>
    <w:p>
      <w:pPr>
        <w:pStyle w:val="ListBullet"/>
        <w:ind w:left="283"/>
      </w:pPr>
      <w:r>
        <w:rPr>
          <w:sz w:val="22"/>
        </w:rPr>
        <w:t>Ajouter 2-3 PDF industriels supplémentaires (Schaeffler LuK embrayages, NTN-SNR joints) pour montrer la multi-source au-delà de 7 PDFs</w:t>
      </w:r>
    </w:p>
    <w:p>
      <w:pPr>
        <w:pStyle w:val="ListBullet"/>
        <w:ind w:left="283"/>
      </w:pPr>
      <w:r>
        <w:rPr>
          <w:sz w:val="22"/>
        </w:rPr>
        <w:t>Si déploiement en prod : conformité CE marking formelle, audit externe, SLA, plan d'incident</w:t>
      </w:r>
    </w:p>
    <w:p>
      <w:pPr>
        <w:pStyle w:val="ListBullet"/>
        <w:ind w:left="283"/>
      </w:pPr>
      <w:r>
        <w:rPr>
          <w:sz w:val="22"/>
        </w:rPr>
        <w:t>Remplacer le RAGAS 0.2 par la dernière version stable (0.3+) si metrics API change</w:t>
      </w:r>
    </w:p>
    <w:p>
      <w:pPr>
        <w:pStyle w:val="Heading1"/>
      </w:pPr>
      <w:r>
        <w:rPr>
          <w:sz w:val="36"/>
        </w:rPr>
        <w:t>11. Auteur et contact</w:t>
      </w:r>
    </w:p>
    <w:p>
      <w:r>
        <w:rPr>
          <w:b/>
          <w:i w:val="0"/>
          <w:sz w:val="22"/>
        </w:rPr>
        <w:t>Patrice Duclos</w:t>
      </w:r>
    </w:p>
    <w:p>
      <w:r>
        <w:rPr>
          <w:b w:val="0"/>
          <w:i w:val="0"/>
          <w:sz w:val="22"/>
        </w:rPr>
        <w:t>RNCP 38777 Lead Data / AI Architect (Jedha certification)</w:t>
      </w:r>
    </w:p>
    <w:p>
      <w:r>
        <w:rPr>
          <w:b w:val="0"/>
          <w:i w:val="0"/>
          <w:sz w:val="22"/>
        </w:rPr>
        <w:t>14 ans technico-commercial B2B (Michaud Chailly) · 6 ans data-driven (DEXIS BFC) · MLOps en production (LyonFlow)</w:t>
      </w:r>
    </w:p>
    <w:p>
      <w:r>
        <w:rPr>
          <w:b w:val="0"/>
          <w:i w:val="0"/>
          <w:sz w:val="22"/>
        </w:rPr>
        <w:t xml:space="preserve"> </w:t>
      </w:r>
    </w:p>
    <w:p>
      <w:r>
        <w:rPr>
          <w:b w:val="0"/>
          <w:i w:val="0"/>
          <w:sz w:val="22"/>
        </w:rPr>
        <w:t>LinkedIn : https://www.linkedin.com/in/patriceduclos/</w:t>
      </w:r>
    </w:p>
    <w:p>
      <w:r>
        <w:rPr>
          <w:b w:val="0"/>
          <w:i w:val="0"/>
          <w:sz w:val="22"/>
        </w:rPr>
        <w:t>GitHub : https://github.com/PDUCLOS</w:t>
      </w:r>
    </w:p>
    <w:p>
      <w:r>
        <w:rPr>
          <w:b w:val="0"/>
          <w:i w:val="0"/>
          <w:sz w:val="22"/>
        </w:rPr>
        <w:t>Email : patrice@lyonflow.fr</w:t>
      </w:r>
    </w:p>
    <w:p>
      <w:r>
        <w:rPr>
          <w:b w:val="0"/>
          <w:i w:val="0"/>
          <w:sz w:val="22"/>
        </w:rPr>
        <w:t xml:space="preserve"> </w:t>
      </w:r>
    </w:p>
    <w:p>
      <w:r>
        <w:rPr>
          <w:b w:val="0"/>
          <w:i/>
          <w:sz w:val="22"/>
        </w:rPr>
        <w:t>Document généré le 15/07/2026 par scripts/generate_overview_docx.py. Re-générer ce document à chaque release majeure pour rester en sync avec le code.</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