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7693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A23DC9D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D34C80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«Казанский национальный исследовательский технический университет</w:t>
      </w:r>
    </w:p>
    <w:p w14:paraId="312A9FB2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им. А.Н. Туполева – КАИ»</w:t>
      </w:r>
    </w:p>
    <w:p w14:paraId="4B3D374C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Институт компьютерных технологий и защиты информации</w:t>
      </w:r>
    </w:p>
    <w:p w14:paraId="067F2AF7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Отделение СПО ИКТЗИ (Колледж информационных технологий)</w:t>
      </w:r>
    </w:p>
    <w:p w14:paraId="579FFCBA" w14:textId="77777777" w:rsidR="00CA7B81" w:rsidRPr="00507665" w:rsidRDefault="00CA7B81" w:rsidP="00CA7B81">
      <w:pPr>
        <w:spacing w:after="0"/>
        <w:rPr>
          <w:rFonts w:cs="Times New Roman"/>
          <w:szCs w:val="28"/>
        </w:rPr>
      </w:pPr>
    </w:p>
    <w:p w14:paraId="2FAF51D9" w14:textId="77777777" w:rsidR="00CA7B81" w:rsidRPr="00507665" w:rsidRDefault="00CA7B81" w:rsidP="00CA7B81">
      <w:pPr>
        <w:spacing w:after="0"/>
        <w:ind w:firstLine="708"/>
        <w:jc w:val="right"/>
        <w:rPr>
          <w:rFonts w:cs="Times New Roman"/>
          <w:szCs w:val="28"/>
        </w:rPr>
      </w:pPr>
    </w:p>
    <w:p w14:paraId="73E3C958" w14:textId="77777777" w:rsidR="00CA7B81" w:rsidRPr="00507665" w:rsidRDefault="00CA7B81" w:rsidP="00CA7B81">
      <w:pPr>
        <w:spacing w:after="0"/>
        <w:ind w:firstLine="708"/>
        <w:jc w:val="right"/>
        <w:rPr>
          <w:rFonts w:cs="Times New Roman"/>
          <w:szCs w:val="28"/>
        </w:rPr>
      </w:pPr>
    </w:p>
    <w:p w14:paraId="04B03B2B" w14:textId="1B5B6372" w:rsidR="00CA7B81" w:rsidRPr="00797430" w:rsidRDefault="00CA7B81" w:rsidP="00CA7B8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</w:t>
      </w:r>
      <w:r w:rsidRPr="00507665">
        <w:rPr>
          <w:rFonts w:cs="Times New Roman"/>
          <w:szCs w:val="28"/>
        </w:rPr>
        <w:t xml:space="preserve"> РАБОТА №</w:t>
      </w:r>
      <w:r w:rsidR="00797430" w:rsidRPr="00797430">
        <w:rPr>
          <w:rFonts w:cs="Times New Roman"/>
          <w:szCs w:val="28"/>
        </w:rPr>
        <w:t>3</w:t>
      </w:r>
    </w:p>
    <w:p w14:paraId="77DAA062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по дисциплине</w:t>
      </w:r>
    </w:p>
    <w:p w14:paraId="1947BF8C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</w:p>
    <w:p w14:paraId="708C1FB8" w14:textId="77777777" w:rsidR="00CA7B81" w:rsidRPr="004A1AE5" w:rsidRDefault="00CA7B81" w:rsidP="00CA7B81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Информационная безопасность</w:t>
      </w:r>
    </w:p>
    <w:p w14:paraId="4AA9C915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</w:p>
    <w:p w14:paraId="6E94128D" w14:textId="77777777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</w:p>
    <w:p w14:paraId="4198A8F4" w14:textId="2A585EA2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Тема: «</w:t>
      </w:r>
      <w:r w:rsidR="00797430" w:rsidRPr="00797430">
        <w:rPr>
          <w:rFonts w:cs="Times New Roman"/>
          <w:szCs w:val="28"/>
        </w:rPr>
        <w:t>Обоснование применения норм уголовного права в конкретных ситуациях и нахождение применимых правовых норм в заданных условиях</w:t>
      </w:r>
      <w:r w:rsidRPr="00507665">
        <w:rPr>
          <w:rFonts w:cs="Times New Roman"/>
          <w:szCs w:val="28"/>
        </w:rPr>
        <w:t>»</w:t>
      </w:r>
    </w:p>
    <w:p w14:paraId="18966AB1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</w:p>
    <w:p w14:paraId="5D87B7CE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</w:p>
    <w:p w14:paraId="3AA339D2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Работу выполнил</w:t>
      </w:r>
    </w:p>
    <w:p w14:paraId="22EDFAEB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Студент гр.42</w:t>
      </w:r>
      <w:r>
        <w:rPr>
          <w:rFonts w:cs="Times New Roman"/>
          <w:szCs w:val="28"/>
        </w:rPr>
        <w:t>33</w:t>
      </w:r>
      <w:r w:rsidRPr="00507665">
        <w:rPr>
          <w:rFonts w:cs="Times New Roman"/>
          <w:szCs w:val="28"/>
        </w:rPr>
        <w:t xml:space="preserve"> </w:t>
      </w:r>
    </w:p>
    <w:p w14:paraId="1EBFC3BE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Валеев Д</w:t>
      </w:r>
      <w:r w:rsidRPr="0050766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Э.</w:t>
      </w:r>
    </w:p>
    <w:p w14:paraId="3DC5169B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</w:p>
    <w:p w14:paraId="4D011631" w14:textId="77777777" w:rsidR="00CA7B81" w:rsidRPr="00507665" w:rsidRDefault="00CA7B81" w:rsidP="00CA7B81">
      <w:pPr>
        <w:spacing w:after="0"/>
        <w:jc w:val="right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Принял</w:t>
      </w:r>
    </w:p>
    <w:p w14:paraId="3DBD467E" w14:textId="77777777" w:rsidR="00CA7B81" w:rsidRPr="004A1AE5" w:rsidRDefault="00CA7B81" w:rsidP="00CA7B81">
      <w:pPr>
        <w:spacing w:after="0"/>
        <w:jc w:val="right"/>
        <w:rPr>
          <w:rFonts w:eastAsia="Times New Roman" w:cs="Times New Roman"/>
          <w:szCs w:val="28"/>
        </w:rPr>
      </w:pPr>
      <w:r w:rsidRPr="00507665">
        <w:rPr>
          <w:rFonts w:cs="Times New Roman"/>
          <w:szCs w:val="28"/>
        </w:rPr>
        <w:t xml:space="preserve">Преподаватель </w:t>
      </w:r>
      <w:r>
        <w:rPr>
          <w:rFonts w:eastAsia="Times New Roman" w:cs="Times New Roman"/>
          <w:szCs w:val="28"/>
        </w:rPr>
        <w:t>Кожевников К.Д.</w:t>
      </w:r>
    </w:p>
    <w:p w14:paraId="16B5B061" w14:textId="77777777" w:rsidR="007B3127" w:rsidRDefault="007B3127" w:rsidP="009D74B9">
      <w:pPr>
        <w:spacing w:after="0"/>
        <w:ind w:firstLine="0"/>
        <w:jc w:val="left"/>
        <w:rPr>
          <w:rFonts w:cs="Times New Roman"/>
          <w:szCs w:val="28"/>
        </w:rPr>
      </w:pPr>
    </w:p>
    <w:p w14:paraId="3213C722" w14:textId="63B0F50C" w:rsidR="00CA7B81" w:rsidRPr="00507665" w:rsidRDefault="00CA7B81" w:rsidP="00CA7B81">
      <w:pPr>
        <w:spacing w:after="0"/>
        <w:jc w:val="center"/>
        <w:rPr>
          <w:rFonts w:cs="Times New Roman"/>
          <w:szCs w:val="28"/>
        </w:rPr>
      </w:pPr>
      <w:r w:rsidRPr="00507665">
        <w:rPr>
          <w:rFonts w:cs="Times New Roman"/>
          <w:szCs w:val="28"/>
        </w:rPr>
        <w:t>Казань 20</w:t>
      </w:r>
      <w:r>
        <w:rPr>
          <w:rFonts w:cs="Times New Roman"/>
          <w:szCs w:val="28"/>
        </w:rPr>
        <w:t>24</w:t>
      </w:r>
      <w:r w:rsidRPr="00507665">
        <w:rPr>
          <w:rFonts w:cs="Times New Roman"/>
          <w:szCs w:val="28"/>
        </w:rPr>
        <w:t> </w:t>
      </w:r>
    </w:p>
    <w:p w14:paraId="3BCB364C" w14:textId="77777777" w:rsidR="00CA7B81" w:rsidRPr="007E24AF" w:rsidRDefault="00CA7B81" w:rsidP="002A4D63">
      <w:pPr>
        <w:pStyle w:val="123"/>
      </w:pPr>
      <w:r w:rsidRPr="007E24AF">
        <w:lastRenderedPageBreak/>
        <w:t>Часть 1</w:t>
      </w:r>
    </w:p>
    <w:p w14:paraId="7DEEDE5E" w14:textId="77777777" w:rsidR="00CA7B81" w:rsidRPr="007E24AF" w:rsidRDefault="00CA7B81" w:rsidP="002A4D63">
      <w:pPr>
        <w:pStyle w:val="123"/>
      </w:pPr>
      <w:r w:rsidRPr="007E24AF">
        <w:t>Цель работы</w:t>
      </w:r>
    </w:p>
    <w:p w14:paraId="17235E88" w14:textId="05503965" w:rsidR="0052522A" w:rsidRDefault="007B3127" w:rsidP="00726A6B">
      <w:pPr>
        <w:pStyle w:val="af1"/>
      </w:pPr>
      <w:r>
        <w:t>О</w:t>
      </w:r>
      <w:r>
        <w:t>босновать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правового</w:t>
      </w:r>
      <w:r>
        <w:rPr>
          <w:spacing w:val="1"/>
        </w:rPr>
        <w:t xml:space="preserve"> </w:t>
      </w:r>
      <w:r>
        <w:t>наказания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ВПО</w:t>
      </w:r>
      <w:r w:rsidR="002C1D43">
        <w:t>.</w:t>
      </w:r>
    </w:p>
    <w:p w14:paraId="702F65F2" w14:textId="29415F60" w:rsidR="00CA7B81" w:rsidRPr="009A595A" w:rsidRDefault="002C1D43" w:rsidP="00CA51E9">
      <w:pPr>
        <w:pStyle w:val="123"/>
      </w:pPr>
      <w:r w:rsidRPr="007E24AF">
        <w:t xml:space="preserve"> </w:t>
      </w:r>
      <w:r w:rsidR="00CA7B81" w:rsidRPr="007E24AF">
        <w:t>Результат выполнения работы</w:t>
      </w:r>
    </w:p>
    <w:p w14:paraId="3F7BA640" w14:textId="77777777" w:rsidR="002C1D43" w:rsidRPr="005830D6" w:rsidRDefault="00CA7B81" w:rsidP="00726A6B">
      <w:pPr>
        <w:pStyle w:val="af1"/>
      </w:pPr>
      <w:r w:rsidRPr="005830D6">
        <w:t xml:space="preserve">1. </w:t>
      </w:r>
      <w:r w:rsidR="002C1D43" w:rsidRPr="005830D6">
        <w:t>Проанализируйте приведенные ниже ситуации.</w:t>
      </w:r>
    </w:p>
    <w:p w14:paraId="05A5AD69" w14:textId="77777777" w:rsidR="002C1D43" w:rsidRPr="005830D6" w:rsidRDefault="002C1D43" w:rsidP="00726A6B">
      <w:pPr>
        <w:pStyle w:val="af1"/>
      </w:pPr>
      <w:r w:rsidRPr="005830D6">
        <w:t>Ссылаясь на статьи «Уголовного кодекса Российской Федерации» от 13.06.1996 № 63-ФЗ (ред. от 02.08.2019), какую ответственность несут люди в данных ситуациях.</w:t>
      </w:r>
    </w:p>
    <w:p w14:paraId="7F4AF2BB" w14:textId="1805EF95" w:rsidR="002C1D43" w:rsidRPr="005830D6" w:rsidRDefault="005830D6" w:rsidP="00726A6B">
      <w:pPr>
        <w:pStyle w:val="af1"/>
      </w:pPr>
      <w:r>
        <w:t xml:space="preserve">1. </w:t>
      </w:r>
      <w:r w:rsidR="002C1D43" w:rsidRPr="005830D6">
        <w:t>Вы пишите на заказ на программы, которые заражает компьютер и подгружают вредоносные программы. При этом сами данным программным обеспечение не пользуетесь.</w:t>
      </w:r>
    </w:p>
    <w:p w14:paraId="56236B5A" w14:textId="68AFDD80" w:rsidR="005830D6" w:rsidRPr="00A85473" w:rsidRDefault="002C1D43" w:rsidP="00726A6B">
      <w:pPr>
        <w:pStyle w:val="af1"/>
      </w:pPr>
      <w:r w:rsidRPr="005830D6">
        <w:t>Данное действие нарушает статью 273.1 – “</w:t>
      </w:r>
      <w:hyperlink r:id="rId9" w:history="1">
        <w:r w:rsidRPr="00A85473">
          <w:t>Создание</w:t>
        </w:r>
      </w:hyperlink>
      <w:r w:rsidRPr="00A85473">
        <w:t>, </w:t>
      </w:r>
      <w:hyperlink r:id="rId10" w:history="1">
        <w:r w:rsidRPr="00A85473">
          <w:t>распространение</w:t>
        </w:r>
      </w:hyperlink>
      <w:r w:rsidRPr="00A85473">
        <w:t> или </w:t>
      </w:r>
      <w:hyperlink r:id="rId11" w:history="1">
        <w:r w:rsidRPr="00A85473">
          <w:t>использование</w:t>
        </w:r>
      </w:hyperlink>
      <w:r w:rsidRPr="00A85473">
        <w:t> компьютерных </w:t>
      </w:r>
      <w:hyperlink r:id="rId12" w:anchor="dst100036" w:history="1">
        <w:r w:rsidRPr="00A85473">
          <w:t>программ</w:t>
        </w:r>
      </w:hyperlink>
      <w:r w:rsidRPr="00A85473">
        <w:t> либо </w:t>
      </w:r>
      <w:hyperlink r:id="rId13" w:anchor="dst100023" w:history="1">
        <w:r w:rsidRPr="00A85473">
          <w:t>иной</w:t>
        </w:r>
      </w:hyperlink>
      <w:r w:rsidRPr="00A85473">
        <w:t> </w:t>
      </w:r>
      <w:hyperlink r:id="rId14" w:anchor="dst978" w:history="1">
        <w:r w:rsidRPr="00A85473">
          <w:t>компьютерной информации</w:t>
        </w:r>
      </w:hyperlink>
      <w:r w:rsidRPr="00A85473">
        <w:t>, заведомо предназначенных для несанкционированного </w:t>
      </w:r>
      <w:r w:rsidR="00A85473" w:rsidRPr="00A85473">
        <w:t>уничтожение</w:t>
      </w:r>
      <w:r w:rsidRPr="00A85473">
        <w:t>, </w:t>
      </w:r>
      <w:hyperlink r:id="rId15" w:history="1">
        <w:r w:rsidRPr="00A85473">
          <w:t>блокирования</w:t>
        </w:r>
      </w:hyperlink>
      <w:r w:rsidRPr="00A85473">
        <w:t>, </w:t>
      </w:r>
      <w:hyperlink r:id="rId16" w:history="1">
        <w:r w:rsidRPr="00A85473">
          <w:t>модификации</w:t>
        </w:r>
      </w:hyperlink>
      <w:r w:rsidRPr="00A85473">
        <w:t>, </w:t>
      </w:r>
      <w:hyperlink r:id="rId17" w:anchor="dst100028" w:history="1">
        <w:r w:rsidRPr="00A85473">
          <w:t>копирования</w:t>
        </w:r>
      </w:hyperlink>
      <w:r w:rsidRPr="00A85473">
        <w:t> компьютерной информации или </w:t>
      </w:r>
      <w:hyperlink r:id="rId18" w:anchor="dst100016" w:history="1">
        <w:r w:rsidRPr="00A85473">
          <w:t>нейтрализации</w:t>
        </w:r>
      </w:hyperlink>
      <w:r w:rsidRPr="00A85473">
        <w:t xml:space="preserve"> средств защиты компьютерной информации” и они наказываются ограничением свободы на срок до четырех лет, либо </w:t>
      </w:r>
      <w:proofErr w:type="spellStart"/>
      <w:r w:rsidRPr="00A85473">
        <w:t>принудтельными</w:t>
      </w:r>
      <w:proofErr w:type="spellEnd"/>
      <w:r w:rsidRPr="00A85473">
        <w:t xml:space="preserve"> работами на срок до четырех лет,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14:paraId="4A7F1374" w14:textId="35445430" w:rsidR="002C1D43" w:rsidRPr="005830D6" w:rsidRDefault="005830D6" w:rsidP="00726A6B">
      <w:pPr>
        <w:pStyle w:val="af1"/>
      </w:pPr>
      <w:r>
        <w:t xml:space="preserve">2. </w:t>
      </w:r>
      <w:r w:rsidR="002C1D43" w:rsidRPr="005830D6">
        <w:t xml:space="preserve">Системный администратор некоторой известной компании без ведома устанавливал по сети всем программу для удаленного администрирования </w:t>
      </w:r>
      <w:proofErr w:type="spellStart"/>
      <w:r w:rsidR="002C1D43" w:rsidRPr="005830D6">
        <w:t>RAdmin</w:t>
      </w:r>
      <w:proofErr w:type="spellEnd"/>
      <w:r w:rsidR="002C1D43" w:rsidRPr="005830D6">
        <w:t>.</w:t>
      </w:r>
    </w:p>
    <w:p w14:paraId="081A1CEA" w14:textId="757462F7" w:rsidR="002C1D43" w:rsidRPr="005830D6" w:rsidRDefault="002C1D43" w:rsidP="00726A6B">
      <w:pPr>
        <w:pStyle w:val="af1"/>
      </w:pPr>
      <w:r w:rsidRPr="005830D6">
        <w:t>Установка без согласия пользователей может рассматриваться как распространение вредоносного ПО (ст</w:t>
      </w:r>
      <w:r w:rsidR="002A4D63">
        <w:t>.</w:t>
      </w:r>
      <w:r w:rsidRPr="005830D6">
        <w:t xml:space="preserve"> 273.1 УК РФ) и нести за собой наказание </w:t>
      </w:r>
      <w:r w:rsidRPr="005830D6">
        <w:lastRenderedPageBreak/>
        <w:t>ограничением свободы на срок до четырех лет, либо принудительными работами на срок до четырех лет,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 Также человек может понести ответственность за Неправомерный доступ к компьютерной информации (</w:t>
      </w:r>
      <w:r w:rsidR="00FD3E23">
        <w:t xml:space="preserve">ст. </w:t>
      </w:r>
      <w:r w:rsidRPr="005830D6">
        <w:t>272 УК РФ).</w:t>
      </w:r>
    </w:p>
    <w:p w14:paraId="6CD3F354" w14:textId="2C024CB1" w:rsidR="002C1D43" w:rsidRPr="005830D6" w:rsidRDefault="005830D6" w:rsidP="00726A6B">
      <w:pPr>
        <w:pStyle w:val="af1"/>
      </w:pPr>
      <w:r>
        <w:t xml:space="preserve">3. </w:t>
      </w:r>
      <w:r w:rsidR="002C1D43" w:rsidRPr="005830D6">
        <w:t>Вы случайно распространили по сети вирус, который шифрует данные на ПК пользователей</w:t>
      </w:r>
    </w:p>
    <w:p w14:paraId="1A2AD1CF" w14:textId="77777777" w:rsidR="002C1D43" w:rsidRPr="005830D6" w:rsidRDefault="002C1D43" w:rsidP="00726A6B">
      <w:pPr>
        <w:pStyle w:val="af1"/>
      </w:pPr>
      <w:r w:rsidRPr="005830D6">
        <w:t xml:space="preserve">В любом случае человек распространил ВПО в открытый доступ, поэтому ему грозит </w:t>
      </w:r>
      <w:proofErr w:type="spellStart"/>
      <w:r w:rsidRPr="005830D6">
        <w:t>ст</w:t>
      </w:r>
      <w:proofErr w:type="spellEnd"/>
      <w:r w:rsidRPr="005830D6">
        <w:t xml:space="preserve"> 273.1 УК РФ</w:t>
      </w:r>
    </w:p>
    <w:p w14:paraId="77BFA213" w14:textId="08B0E58C" w:rsidR="002C1D43" w:rsidRPr="005830D6" w:rsidRDefault="005830D6" w:rsidP="00726A6B">
      <w:pPr>
        <w:pStyle w:val="af1"/>
      </w:pPr>
      <w:r>
        <w:t xml:space="preserve">4. </w:t>
      </w:r>
      <w:r w:rsidR="002C1D43" w:rsidRPr="005830D6">
        <w:t xml:space="preserve">Вы не распространяли вирус, но выложили его на </w:t>
      </w:r>
      <w:proofErr w:type="spellStart"/>
      <w:r w:rsidR="002C1D43" w:rsidRPr="005830D6">
        <w:t>GitHub</w:t>
      </w:r>
      <w:proofErr w:type="spellEnd"/>
      <w:r w:rsidR="002C1D43" w:rsidRPr="005830D6">
        <w:t>.</w:t>
      </w:r>
    </w:p>
    <w:p w14:paraId="0DB9B5BB" w14:textId="77777777" w:rsidR="002C1D43" w:rsidRPr="005830D6" w:rsidRDefault="002C1D43" w:rsidP="00726A6B">
      <w:pPr>
        <w:pStyle w:val="af1"/>
      </w:pPr>
      <w:r w:rsidRPr="005830D6">
        <w:t>В любом случае это является распространением ВПО и наказывается по 273 УК РФ.</w:t>
      </w:r>
    </w:p>
    <w:p w14:paraId="287D801B" w14:textId="4018C1D3" w:rsidR="002C1D43" w:rsidRPr="005830D6" w:rsidRDefault="005830D6" w:rsidP="00726A6B">
      <w:pPr>
        <w:pStyle w:val="af1"/>
      </w:pPr>
      <w:r>
        <w:t xml:space="preserve">5. </w:t>
      </w:r>
      <w:r w:rsidRPr="005830D6">
        <w:t>Вам 17 лет, ради интереса распространили вредоносное программное обеспечение.</w:t>
      </w:r>
    </w:p>
    <w:p w14:paraId="71A855FC" w14:textId="5A530509" w:rsidR="002C1D43" w:rsidRPr="005830D6" w:rsidRDefault="002C1D43" w:rsidP="00726A6B">
      <w:pPr>
        <w:pStyle w:val="af1"/>
      </w:pPr>
      <w:r w:rsidRPr="005830D6">
        <w:t>Человек несёт уголовную ответственность с 16 лет, ему также грозит статья 273.1 УК РФ, а также 272 УК РФ.</w:t>
      </w:r>
    </w:p>
    <w:p w14:paraId="73757722" w14:textId="7DB4C802" w:rsidR="002C1D43" w:rsidRPr="005830D6" w:rsidRDefault="00E30FD5" w:rsidP="00726A6B">
      <w:pPr>
        <w:pStyle w:val="af1"/>
      </w:pPr>
      <w:r w:rsidRPr="005830D6">
        <w:t xml:space="preserve"> </w:t>
      </w:r>
      <w:r w:rsidR="005830D6">
        <w:t xml:space="preserve">6. </w:t>
      </w:r>
      <w:r w:rsidR="005830D6" w:rsidRPr="005830D6">
        <w:t>Вы разработали код вредоносной программы, но еще не воспользовались им.</w:t>
      </w:r>
    </w:p>
    <w:p w14:paraId="7C684D55" w14:textId="77777777" w:rsidR="002C1D43" w:rsidRPr="005830D6" w:rsidRDefault="002C1D43" w:rsidP="00726A6B">
      <w:pPr>
        <w:pStyle w:val="af1"/>
      </w:pPr>
      <w:r w:rsidRPr="005830D6">
        <w:t>Если каким либо образом узнать, что данное ВПО было заведомо предназначено для несанкционированного </w:t>
      </w:r>
      <w:hyperlink r:id="rId19" w:history="1">
        <w:r w:rsidRPr="005830D6">
          <w:t>уничтожения</w:t>
        </w:r>
      </w:hyperlink>
      <w:r w:rsidRPr="005830D6">
        <w:t>, </w:t>
      </w:r>
      <w:hyperlink r:id="rId20" w:history="1">
        <w:r w:rsidRPr="005830D6">
          <w:t>блокирования</w:t>
        </w:r>
      </w:hyperlink>
      <w:r w:rsidRPr="005830D6">
        <w:t>, </w:t>
      </w:r>
      <w:hyperlink r:id="rId21" w:history="1">
        <w:r w:rsidRPr="005830D6">
          <w:t>модификации</w:t>
        </w:r>
      </w:hyperlink>
      <w:r w:rsidRPr="005830D6">
        <w:t>, </w:t>
      </w:r>
      <w:hyperlink r:id="rId22" w:anchor="dst100028" w:history="1">
        <w:r w:rsidRPr="005830D6">
          <w:t>копирования</w:t>
        </w:r>
      </w:hyperlink>
      <w:r w:rsidRPr="005830D6">
        <w:t> компьютерной информации или </w:t>
      </w:r>
      <w:hyperlink r:id="rId23" w:anchor="dst100016" w:history="1">
        <w:r w:rsidRPr="005830D6">
          <w:t>нейтрализации</w:t>
        </w:r>
      </w:hyperlink>
      <w:r w:rsidRPr="005830D6">
        <w:t> средств защиты компьютерной информации, то грозит статья 273.1 УК РФ. Вредоносный код также может быть разработан в целях тестирования и защиты от него.</w:t>
      </w:r>
    </w:p>
    <w:p w14:paraId="68307012" w14:textId="48E1C642" w:rsidR="002A4D63" w:rsidRPr="005830D6" w:rsidRDefault="002A4D63" w:rsidP="00726A6B">
      <w:pPr>
        <w:pStyle w:val="af1"/>
      </w:pPr>
      <w:r w:rsidRPr="002A4D63">
        <w:t>7. Вы гражданин РФ и используете вредоносное программное обеспечение исключительно за пределами Российской Федерации</w:t>
      </w:r>
    </w:p>
    <w:p w14:paraId="53231F7D" w14:textId="63AE9A18" w:rsidR="00CA7B81" w:rsidRDefault="002C1D43" w:rsidP="00726A6B">
      <w:pPr>
        <w:pStyle w:val="af1"/>
      </w:pPr>
      <w:r w:rsidRPr="005830D6">
        <w:t xml:space="preserve">Данное действие может включать в себя уголовное преследование как в </w:t>
      </w:r>
      <w:r w:rsidRPr="005830D6">
        <w:lastRenderedPageBreak/>
        <w:t>России, так и в стране, пострадавшей от кибератаки.  Также возможно экстрадиция в другую страну для судебного разбирательства.</w:t>
      </w:r>
      <w:r w:rsidR="00E30FD5" w:rsidRPr="005830D6">
        <w:t xml:space="preserve"> Если же действия будут совпадать с интересами РФ, то есть вероятность отбора в государственную “армию” хакеров.</w:t>
      </w:r>
    </w:p>
    <w:p w14:paraId="253F5552" w14:textId="23370B2B" w:rsidR="00E30FD5" w:rsidRPr="002A4D63" w:rsidRDefault="00734D9C" w:rsidP="002A4D63">
      <w:pPr>
        <w:pStyle w:val="123"/>
      </w:pPr>
      <w:r w:rsidRPr="002A4D63">
        <w:t>Ответы на к</w:t>
      </w:r>
      <w:r w:rsidR="00E30FD5" w:rsidRPr="002A4D63">
        <w:t>онтрольные вопросы</w:t>
      </w:r>
    </w:p>
    <w:p w14:paraId="70D8CE17" w14:textId="60C8757D" w:rsidR="005830D6" w:rsidRDefault="005830D6" w:rsidP="00726A6B">
      <w:pPr>
        <w:pStyle w:val="af1"/>
      </w:pPr>
      <w:r>
        <w:t>1. Перечислите виды ответственности за использование не лицензионного программного обеспечения?</w:t>
      </w:r>
    </w:p>
    <w:p w14:paraId="49D9FB3F" w14:textId="486741AA" w:rsidR="005830D6" w:rsidRDefault="005830D6" w:rsidP="00726A6B">
      <w:pPr>
        <w:pStyle w:val="af1"/>
      </w:pPr>
      <w:r>
        <w:t xml:space="preserve">Использование нелицензионного программного обеспечения является нарушением авторских и смежных прав и влечет за собой административную (ст. 7.12. КоАП РФ), уголовную (ст. 146 УК РФ) и гражданско-правовую </w:t>
      </w:r>
      <w:proofErr w:type="gramStart"/>
      <w:r>
        <w:t>от-</w:t>
      </w:r>
      <w:proofErr w:type="spellStart"/>
      <w:r>
        <w:t>ветственность</w:t>
      </w:r>
      <w:proofErr w:type="spellEnd"/>
      <w:proofErr w:type="gramEnd"/>
      <w:r>
        <w:t>.</w:t>
      </w:r>
    </w:p>
    <w:p w14:paraId="7C53814B" w14:textId="3D619BA5" w:rsidR="00E30FD5" w:rsidRDefault="005830D6" w:rsidP="00726A6B">
      <w:pPr>
        <w:pStyle w:val="af1"/>
      </w:pPr>
      <w:r>
        <w:t xml:space="preserve">2. </w:t>
      </w:r>
      <w:r w:rsidR="00E30FD5" w:rsidRPr="00E30FD5">
        <w:t>Как</w:t>
      </w:r>
      <w:r w:rsidR="00E30FD5" w:rsidRPr="00E30FD5">
        <w:rPr>
          <w:spacing w:val="-3"/>
        </w:rPr>
        <w:t xml:space="preserve"> </w:t>
      </w:r>
      <w:r w:rsidR="00E30FD5" w:rsidRPr="00E30FD5">
        <w:t>правильно</w:t>
      </w:r>
      <w:r w:rsidR="00E30FD5" w:rsidRPr="00E30FD5">
        <w:rPr>
          <w:spacing w:val="-1"/>
        </w:rPr>
        <w:t xml:space="preserve"> </w:t>
      </w:r>
      <w:r w:rsidR="00E30FD5" w:rsidRPr="00E30FD5">
        <w:t>лицензировать</w:t>
      </w:r>
      <w:r w:rsidR="00E30FD5" w:rsidRPr="00E30FD5">
        <w:rPr>
          <w:spacing w:val="-8"/>
        </w:rPr>
        <w:t xml:space="preserve"> </w:t>
      </w:r>
      <w:r w:rsidR="00E30FD5" w:rsidRPr="00E30FD5">
        <w:t>программное</w:t>
      </w:r>
      <w:r w:rsidR="00E30FD5" w:rsidRPr="00E30FD5">
        <w:rPr>
          <w:spacing w:val="-5"/>
        </w:rPr>
        <w:t xml:space="preserve"> </w:t>
      </w:r>
      <w:r w:rsidR="00E30FD5" w:rsidRPr="00E30FD5">
        <w:t>обеспечение?</w:t>
      </w:r>
    </w:p>
    <w:p w14:paraId="171F3D61" w14:textId="187FB8B5" w:rsidR="002A4D63" w:rsidRPr="002A4D63" w:rsidRDefault="002A4D63" w:rsidP="00726A6B">
      <w:pPr>
        <w:pStyle w:val="af1"/>
      </w:pPr>
      <w:r w:rsidRPr="002A4D63">
        <w:t>Авторские права</w:t>
      </w:r>
      <w:proofErr w:type="gramStart"/>
      <w:r w:rsidRPr="002A4D63">
        <w:t>: Перед</w:t>
      </w:r>
      <w:proofErr w:type="gramEnd"/>
      <w:r w:rsidRPr="002A4D63">
        <w:t xml:space="preserve"> лицензированием программы необходимо удостовериться, что у вас есть полные права на программное обеспечение или вы имеете право его распространять от имени правообладателя.</w:t>
      </w:r>
    </w:p>
    <w:p w14:paraId="39E3CAE3" w14:textId="76DDAC5A" w:rsidR="002A4D63" w:rsidRPr="002A4D63" w:rsidRDefault="002A4D63" w:rsidP="00726A6B">
      <w:pPr>
        <w:pStyle w:val="af1"/>
      </w:pPr>
      <w:r w:rsidRPr="002A4D63">
        <w:t>Выбор лицензионной модели</w:t>
      </w:r>
      <w:proofErr w:type="gramStart"/>
      <w:r w:rsidRPr="002A4D63">
        <w:t>: Существует</w:t>
      </w:r>
      <w:proofErr w:type="gramEnd"/>
      <w:r w:rsidRPr="002A4D63">
        <w:t xml:space="preserve"> множество лицензионных моделей, таких как открытая лицензия (например, GPL), проприетарная лицензия, условия лицензий на коммерческое использование и т. д. Выбор модели зависит от целей вашего бизнеса и условий, которые вы хотите установить для пользователей.</w:t>
      </w:r>
    </w:p>
    <w:p w14:paraId="42DB86DE" w14:textId="3129E62B" w:rsidR="002A4D63" w:rsidRPr="002A4D63" w:rsidRDefault="002A4D63" w:rsidP="00726A6B">
      <w:pPr>
        <w:pStyle w:val="af1"/>
      </w:pPr>
      <w:r w:rsidRPr="002A4D63">
        <w:t>Соблюдение законодательства</w:t>
      </w:r>
      <w:proofErr w:type="gramStart"/>
      <w:r w:rsidRPr="002A4D63">
        <w:t>: Убедитесь</w:t>
      </w:r>
      <w:proofErr w:type="gramEnd"/>
      <w:r w:rsidRPr="002A4D63">
        <w:t>, что ваша лицензия соответствует требованиям российского законодательства о защите авторских прав и программного обеспечения.</w:t>
      </w:r>
    </w:p>
    <w:p w14:paraId="5B5A0334" w14:textId="2F6FC1A2" w:rsidR="002A4D63" w:rsidRPr="002A4D63" w:rsidRDefault="002A4D63" w:rsidP="00726A6B">
      <w:pPr>
        <w:pStyle w:val="af1"/>
      </w:pPr>
      <w:r w:rsidRPr="002A4D63">
        <w:t>Права и обязанности сторон: В лицензионном соглашении следует четко определить права и обязанности как лицензиата, так и лицензиара, включая условия использования, ограничения, ответственность и т. д.</w:t>
      </w:r>
    </w:p>
    <w:p w14:paraId="649CD81A" w14:textId="2739D61B" w:rsidR="002A4D63" w:rsidRPr="002A4D63" w:rsidRDefault="002A4D63" w:rsidP="00726A6B">
      <w:pPr>
        <w:pStyle w:val="af1"/>
      </w:pPr>
      <w:r w:rsidRPr="002A4D63">
        <w:lastRenderedPageBreak/>
        <w:t>Регистрация и официальные документы</w:t>
      </w:r>
      <w:proofErr w:type="gramStart"/>
      <w:r w:rsidRPr="002A4D63">
        <w:t>: Хотя</w:t>
      </w:r>
      <w:proofErr w:type="gramEnd"/>
      <w:r w:rsidRPr="002A4D63">
        <w:t xml:space="preserve"> регистрация лицензионных соглашений в России не обязательна, но иногда это может быть полезным для обеспечения защиты ваших прав.</w:t>
      </w:r>
    </w:p>
    <w:p w14:paraId="0D0713B4" w14:textId="77777777" w:rsidR="00E30FD5" w:rsidRPr="00E30FD5" w:rsidRDefault="00E30FD5" w:rsidP="00E30FD5">
      <w:pPr>
        <w:pStyle w:val="a6"/>
        <w:widowControl w:val="0"/>
        <w:tabs>
          <w:tab w:val="left" w:pos="2097"/>
          <w:tab w:val="left" w:pos="2098"/>
        </w:tabs>
        <w:autoSpaceDE w:val="0"/>
        <w:autoSpaceDN w:val="0"/>
        <w:spacing w:after="0" w:line="317" w:lineRule="exact"/>
        <w:ind w:left="2098"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</w:p>
    <w:p w14:paraId="6BB33130" w14:textId="130B220E" w:rsidR="002A4D63" w:rsidRPr="007E24AF" w:rsidRDefault="002A4D63" w:rsidP="002A4D63">
      <w:pPr>
        <w:pStyle w:val="123"/>
      </w:pPr>
      <w:r>
        <w:t>Вывод</w:t>
      </w:r>
    </w:p>
    <w:p w14:paraId="5B860A25" w14:textId="2D262F41" w:rsidR="002A4D63" w:rsidRPr="002A4D63" w:rsidRDefault="002A4D63" w:rsidP="00726A6B">
      <w:pPr>
        <w:pStyle w:val="af1"/>
      </w:pPr>
      <w:r>
        <w:t>Обосновал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правового</w:t>
      </w:r>
      <w:r>
        <w:rPr>
          <w:spacing w:val="1"/>
        </w:rPr>
        <w:t xml:space="preserve"> </w:t>
      </w:r>
      <w:r>
        <w:t>наказания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ВПО.</w:t>
      </w:r>
    </w:p>
    <w:p w14:paraId="057BD3FB" w14:textId="195E8E4E" w:rsidR="00CA7B81" w:rsidRDefault="00CA7B81" w:rsidP="002A4D63">
      <w:pPr>
        <w:pStyle w:val="123"/>
      </w:pPr>
      <w:r w:rsidRPr="007E24AF">
        <w:t>Часть 2</w:t>
      </w:r>
    </w:p>
    <w:p w14:paraId="7A80084A" w14:textId="77777777" w:rsidR="00CA7B81" w:rsidRPr="00E30FD5" w:rsidRDefault="00CA7B81" w:rsidP="002A4D63">
      <w:pPr>
        <w:pStyle w:val="123"/>
      </w:pPr>
      <w:r w:rsidRPr="00E30FD5">
        <w:t>Цели</w:t>
      </w:r>
    </w:p>
    <w:p w14:paraId="1ABB9D13" w14:textId="669AB547" w:rsidR="00734D9C" w:rsidRPr="005830D6" w:rsidRDefault="00E30FD5" w:rsidP="00726A6B">
      <w:pPr>
        <w:pStyle w:val="af1"/>
      </w:pPr>
      <w:r>
        <w:t>О</w:t>
      </w:r>
      <w:r>
        <w:t>знакомиться</w:t>
      </w:r>
      <w:r>
        <w:rPr>
          <w:spacing w:val="14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правовой</w:t>
      </w:r>
      <w:r>
        <w:rPr>
          <w:spacing w:val="14"/>
        </w:rPr>
        <w:t xml:space="preserve"> </w:t>
      </w:r>
      <w:r>
        <w:t>сферой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области</w:t>
      </w:r>
      <w:r>
        <w:rPr>
          <w:spacing w:val="16"/>
        </w:rPr>
        <w:t xml:space="preserve"> </w:t>
      </w:r>
      <w:proofErr w:type="gramStart"/>
      <w:r>
        <w:t>информационной</w:t>
      </w:r>
      <w:r>
        <w:t xml:space="preserve"> </w:t>
      </w:r>
      <w:r>
        <w:rPr>
          <w:spacing w:val="-67"/>
        </w:rPr>
        <w:t xml:space="preserve"> </w:t>
      </w:r>
      <w:r>
        <w:t>бе</w:t>
      </w:r>
      <w:r>
        <w:t>зо</w:t>
      </w:r>
      <w:r>
        <w:t>пасности</w:t>
      </w:r>
      <w:proofErr w:type="gramEnd"/>
      <w:r w:rsidR="00CA7B81" w:rsidRPr="009A595A">
        <w:t>.</w:t>
      </w:r>
    </w:p>
    <w:p w14:paraId="46405DB1" w14:textId="1F600650" w:rsidR="00CA7B81" w:rsidRPr="00734D9C" w:rsidRDefault="00734D9C" w:rsidP="00A85473">
      <w:pPr>
        <w:pStyle w:val="123"/>
        <w:rPr>
          <w:bCs/>
        </w:rPr>
      </w:pPr>
      <w:r>
        <w:t>Результат выполнения</w:t>
      </w:r>
      <w:r w:rsidRPr="00E30FD5">
        <w:t xml:space="preserve"> лабораторн</w:t>
      </w:r>
      <w:r>
        <w:t>ой</w:t>
      </w:r>
      <w:r w:rsidRPr="00E30FD5">
        <w:t xml:space="preserve"> работ</w:t>
      </w:r>
      <w:r>
        <w:t>ы</w:t>
      </w:r>
    </w:p>
    <w:p w14:paraId="2E572A0B" w14:textId="3B3BB05C" w:rsidR="00CA7B81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CA51E9" w:rsidRPr="00A57016">
        <w:t>Эти документы вместе составляют правовую основу для обеспечения информационной безопасности в Российской Федерации, они определяют правила и принципы защиты информации, персональных данных и государственных секретов.</w:t>
      </w:r>
    </w:p>
    <w:p w14:paraId="0C53B372" w14:textId="77777777" w:rsidR="0052522A" w:rsidRDefault="00734D9C" w:rsidP="00734D9C">
      <w:pPr>
        <w:tabs>
          <w:tab w:val="left" w:pos="2097"/>
          <w:tab w:val="left" w:pos="2098"/>
        </w:tabs>
        <w:spacing w:before="16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</w:p>
    <w:p w14:paraId="3AC940FB" w14:textId="08FE14EB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734D9C" w:rsidRPr="00734D9C">
        <w:rPr>
          <w:rFonts w:cs="Times New Roman"/>
          <w:szCs w:val="28"/>
        </w:rPr>
        <w:t>Федеральный закон от 28.12.2010 № 390-ΦЗ «О безопасности»:</w:t>
      </w:r>
    </w:p>
    <w:p w14:paraId="55CEBEE4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Содержит общие положения о национальной безопасности и меры по ее обеспечению, что включает в себя и информационную безопасность.</w:t>
      </w:r>
    </w:p>
    <w:p w14:paraId="389D1D1B" w14:textId="484A4353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734D9C" w:rsidRPr="00734D9C">
        <w:rPr>
          <w:rFonts w:cs="Times New Roman"/>
          <w:szCs w:val="28"/>
        </w:rPr>
        <w:t>Федеральный закон от 27.07.2006 № 149-ФЗ «Об информации, информационных технологиях и о защите информации»:</w:t>
      </w:r>
    </w:p>
    <w:p w14:paraId="7E726427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Устанавливает основные принципы обращения с информацией, информационными технологиями и обеспечения их защиты, что является основой для обеспечения информационной безопасности.</w:t>
      </w:r>
    </w:p>
    <w:p w14:paraId="16B612AB" w14:textId="7D94B04E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734D9C" w:rsidRPr="00734D9C">
        <w:rPr>
          <w:rFonts w:cs="Times New Roman"/>
          <w:szCs w:val="28"/>
        </w:rPr>
        <w:t>Закон РФ «О государственной тайне» от 21.07.1993:</w:t>
      </w:r>
    </w:p>
    <w:p w14:paraId="61F6F832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lastRenderedPageBreak/>
        <w:t>Регулирует порядок обращения с государственной тайной, что является важным аспектом обеспечения информационной безопасности государства.</w:t>
      </w:r>
    </w:p>
    <w:p w14:paraId="400E5630" w14:textId="400EB566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734D9C" w:rsidRPr="00734D9C">
        <w:rPr>
          <w:rFonts w:cs="Times New Roman"/>
          <w:szCs w:val="28"/>
        </w:rPr>
        <w:t>Федеральный закон «О коммерческой тайне» от 29.07.2004:</w:t>
      </w:r>
    </w:p>
    <w:p w14:paraId="010D4F93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Определяет понятие коммерческой тайны и устанавливает меры по ее защите, что также важно для обеспечения конфиденциальности информации и, следовательно, информационной безопасности.</w:t>
      </w:r>
    </w:p>
    <w:p w14:paraId="36703F70" w14:textId="182808D9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734D9C" w:rsidRPr="00734D9C">
        <w:rPr>
          <w:rFonts w:cs="Times New Roman"/>
          <w:szCs w:val="28"/>
        </w:rPr>
        <w:t>Федеральный закон «О персональных данных» от 27.07.2006:</w:t>
      </w:r>
    </w:p>
    <w:p w14:paraId="0B3E7EA3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Устанавливает правила сбора, обработки и защиты персональных данных, что важно для обеспечения конфиденциальности информации и защиты прав граждан на приватность.</w:t>
      </w:r>
    </w:p>
    <w:p w14:paraId="73EB00ED" w14:textId="28B0A8E9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734D9C" w:rsidRPr="00734D9C">
        <w:rPr>
          <w:rFonts w:cs="Times New Roman"/>
          <w:szCs w:val="28"/>
        </w:rPr>
        <w:t>Федеральный закон «Об электронной подписи» от 06.04.2011:</w:t>
      </w:r>
    </w:p>
    <w:p w14:paraId="198F7CA9" w14:textId="77777777" w:rsidR="00734D9C" w:rsidRP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Регулирует использование электронной подписи, что является важным средством обеспечения целостности и аутентичности информации в цифровой среде, что также связано с информационной безопасностью.</w:t>
      </w:r>
    </w:p>
    <w:p w14:paraId="2297F55B" w14:textId="6B597D9D" w:rsidR="00734D9C" w:rsidRPr="00734D9C" w:rsidRDefault="0052522A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</w:t>
      </w:r>
      <w:r w:rsidR="00734D9C" w:rsidRPr="00734D9C">
        <w:rPr>
          <w:rFonts w:cs="Times New Roman"/>
          <w:szCs w:val="28"/>
        </w:rPr>
        <w:t>Указ Президента РФ от 17.03.2008 № 351 (ред. от 22.05.2015):</w:t>
      </w:r>
    </w:p>
    <w:p w14:paraId="7BE992A8" w14:textId="75371F94" w:rsidR="00734D9C" w:rsidRDefault="00734D9C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734D9C">
        <w:rPr>
          <w:rFonts w:cs="Times New Roman"/>
          <w:szCs w:val="28"/>
        </w:rPr>
        <w:t>Устанавливает меры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обмена.</w:t>
      </w:r>
    </w:p>
    <w:p w14:paraId="5EC35E02" w14:textId="24650AA8" w:rsidR="002A4D63" w:rsidRPr="002A4D63" w:rsidRDefault="002A4D63" w:rsidP="002A4D63">
      <w:pPr>
        <w:pStyle w:val="123"/>
      </w:pPr>
      <w:r>
        <w:t>Ответы на контрольные вопросы</w:t>
      </w:r>
    </w:p>
    <w:p w14:paraId="46E97A49" w14:textId="67637E7A" w:rsidR="002A4D63" w:rsidRDefault="002A4D63" w:rsidP="002A4D63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t>1. Для чего нужны законодательные меры в области информационной безопасности?</w:t>
      </w:r>
    </w:p>
    <w:p w14:paraId="6EF80F58" w14:textId="4260AC29" w:rsidR="002A4D63" w:rsidRPr="002A4D63" w:rsidRDefault="002A4D63" w:rsidP="00726A6B">
      <w:pPr>
        <w:pStyle w:val="af1"/>
      </w:pPr>
      <w:r>
        <w:t>Законодательные меры в области информационной безопасности необходимы для защиты информации от угроз, связанных с ее несанкционированным доступом, утечкой, порчей и другими видами кибератак. Они также помогают регулировать использование информационных технологий и обеспечивать безопасность как в государственных, так и в частных секторах.</w:t>
      </w:r>
    </w:p>
    <w:p w14:paraId="06050C7A" w14:textId="2FA33DD5" w:rsidR="002A4D63" w:rsidRDefault="002A4D63" w:rsidP="002A4D63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lastRenderedPageBreak/>
        <w:t>2. Какими документами</w:t>
      </w:r>
      <w:r>
        <w:rPr>
          <w:rFonts w:cs="Times New Roman"/>
          <w:szCs w:val="28"/>
        </w:rPr>
        <w:t xml:space="preserve"> </w:t>
      </w:r>
      <w:r w:rsidRPr="002A4D63">
        <w:rPr>
          <w:rFonts w:cs="Times New Roman"/>
          <w:szCs w:val="28"/>
        </w:rPr>
        <w:t>регулируется информационная безопасность в Российской Федерации?</w:t>
      </w:r>
    </w:p>
    <w:p w14:paraId="78D3BA43" w14:textId="77777777" w:rsidR="002A4D63" w:rsidRPr="002A4D63" w:rsidRDefault="002A4D63" w:rsidP="002A4D63">
      <w:pPr>
        <w:pStyle w:val="a6"/>
        <w:numPr>
          <w:ilvl w:val="0"/>
          <w:numId w:val="19"/>
        </w:num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t>Федеральный закон "Об информации, информационных технологиях и о защите информации"</w:t>
      </w:r>
    </w:p>
    <w:p w14:paraId="6D9D8C48" w14:textId="77777777" w:rsidR="002A4D63" w:rsidRPr="002A4D63" w:rsidRDefault="002A4D63" w:rsidP="002A4D63">
      <w:pPr>
        <w:pStyle w:val="a6"/>
        <w:numPr>
          <w:ilvl w:val="0"/>
          <w:numId w:val="19"/>
        </w:num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t>Федеральный закон "О защите информации в информационно-телекоммуникационных сетях"</w:t>
      </w:r>
    </w:p>
    <w:p w14:paraId="2487CF93" w14:textId="501B8E61" w:rsidR="002A4D63" w:rsidRPr="002A4D63" w:rsidRDefault="002A4D63" w:rsidP="002A4D63">
      <w:pPr>
        <w:pStyle w:val="a6"/>
        <w:numPr>
          <w:ilvl w:val="0"/>
          <w:numId w:val="19"/>
        </w:num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t>Постановление Правительства РФ "Об утверждении Правил учета, хранения, использования и распространения сведений, составляющих государственную тайну, содержащихся в средствах вычислительной техники"</w:t>
      </w:r>
    </w:p>
    <w:p w14:paraId="77596BDE" w14:textId="4C32128D" w:rsidR="002A4D63" w:rsidRDefault="002A4D63" w:rsidP="002A4D63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  <w:r w:rsidRPr="002A4D63">
        <w:rPr>
          <w:rFonts w:cs="Times New Roman"/>
          <w:szCs w:val="28"/>
        </w:rPr>
        <w:t>3. Какие основополагающие документы в области информационной безопасности вам известны?</w:t>
      </w:r>
    </w:p>
    <w:p w14:paraId="38DD70DF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>ISO/IEC 27001: Этот стандарт определяет требования к системам управления информационной безопасностью (СУИБ), помогая организациям управлять и защищать свою информацию и активы.</w:t>
      </w:r>
    </w:p>
    <w:p w14:paraId="223FFB26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>ISO/IEC 27002</w:t>
      </w:r>
      <w:proofErr w:type="gramStart"/>
      <w:r w:rsidRPr="00FD3E23">
        <w:rPr>
          <w:rFonts w:eastAsiaTheme="minorHAnsi"/>
        </w:rPr>
        <w:t>: Также</w:t>
      </w:r>
      <w:proofErr w:type="gramEnd"/>
      <w:r w:rsidRPr="00FD3E23">
        <w:rPr>
          <w:rFonts w:eastAsiaTheme="minorHAnsi"/>
        </w:rPr>
        <w:t xml:space="preserve"> известный как "Информационная технология. Методы и средства обеспечения безопасности. Практическое руководство по управлению информационной безопасностью". Этот документ содержит рекомендации и практические руководства по обеспечению безопасности информации в организациях.</w:t>
      </w:r>
    </w:p>
    <w:p w14:paraId="0B929602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>NIST SP 800 Series: Серия публикаций Национального института стандартов и технологий (NIST) США по информационной безопасности. В этой серии рассматриваются различные аспекты информационной безопасности, включая руководства, методики и стандарты.</w:t>
      </w:r>
    </w:p>
    <w:p w14:paraId="11917CDB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 xml:space="preserve">GDPR (General Data Protection </w:t>
      </w:r>
      <w:proofErr w:type="spellStart"/>
      <w:r w:rsidRPr="00FD3E23">
        <w:rPr>
          <w:rFonts w:eastAsiaTheme="minorHAnsi"/>
        </w:rPr>
        <w:t>Regulation</w:t>
      </w:r>
      <w:proofErr w:type="spellEnd"/>
      <w:r w:rsidRPr="00FD3E23">
        <w:rPr>
          <w:rFonts w:eastAsiaTheme="minorHAnsi"/>
        </w:rPr>
        <w:t>)</w:t>
      </w:r>
      <w:proofErr w:type="gramStart"/>
      <w:r w:rsidRPr="00FD3E23">
        <w:rPr>
          <w:rFonts w:eastAsiaTheme="minorHAnsi"/>
        </w:rPr>
        <w:t>: Это</w:t>
      </w:r>
      <w:proofErr w:type="gramEnd"/>
      <w:r w:rsidRPr="00FD3E23">
        <w:rPr>
          <w:rFonts w:eastAsiaTheme="minorHAnsi"/>
        </w:rPr>
        <w:t xml:space="preserve"> регуляторный документ </w:t>
      </w:r>
      <w:r w:rsidRPr="00FD3E23">
        <w:rPr>
          <w:rFonts w:eastAsiaTheme="minorHAnsi"/>
        </w:rPr>
        <w:lastRenderedPageBreak/>
        <w:t>Европейского союза, который регулирует защиту данных и конфиденциальность граждан ЕС.</w:t>
      </w:r>
    </w:p>
    <w:p w14:paraId="156FA4E5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 xml:space="preserve">HIPAA (Health Insurance </w:t>
      </w:r>
      <w:proofErr w:type="spellStart"/>
      <w:r w:rsidRPr="00FD3E23">
        <w:rPr>
          <w:rFonts w:eastAsiaTheme="minorHAnsi"/>
        </w:rPr>
        <w:t>Portability</w:t>
      </w:r>
      <w:proofErr w:type="spellEnd"/>
      <w:r w:rsidRPr="00FD3E23">
        <w:rPr>
          <w:rFonts w:eastAsiaTheme="minorHAnsi"/>
        </w:rPr>
        <w:t xml:space="preserve"> </w:t>
      </w:r>
      <w:proofErr w:type="spellStart"/>
      <w:r w:rsidRPr="00FD3E23">
        <w:rPr>
          <w:rFonts w:eastAsiaTheme="minorHAnsi"/>
        </w:rPr>
        <w:t>and</w:t>
      </w:r>
      <w:proofErr w:type="spellEnd"/>
      <w:r w:rsidRPr="00FD3E23">
        <w:rPr>
          <w:rFonts w:eastAsiaTheme="minorHAnsi"/>
        </w:rPr>
        <w:t xml:space="preserve"> </w:t>
      </w:r>
      <w:proofErr w:type="spellStart"/>
      <w:r w:rsidRPr="00FD3E23">
        <w:rPr>
          <w:rFonts w:eastAsiaTheme="minorHAnsi"/>
        </w:rPr>
        <w:t>Accountability</w:t>
      </w:r>
      <w:proofErr w:type="spellEnd"/>
      <w:r w:rsidRPr="00FD3E23">
        <w:rPr>
          <w:rFonts w:eastAsiaTheme="minorHAnsi"/>
        </w:rPr>
        <w:t xml:space="preserve"> Act): Законодательный акт США, регулирующий защиту медицинской информации и конфиденциальность пациентов.</w:t>
      </w:r>
    </w:p>
    <w:p w14:paraId="771595AB" w14:textId="77777777" w:rsidR="00FD3E23" w:rsidRPr="00FD3E23" w:rsidRDefault="00FD3E23" w:rsidP="00726A6B">
      <w:pPr>
        <w:pStyle w:val="af1"/>
        <w:rPr>
          <w:rFonts w:eastAsiaTheme="minorHAnsi"/>
        </w:rPr>
      </w:pPr>
      <w:r w:rsidRPr="00FD3E23">
        <w:rPr>
          <w:rFonts w:eastAsiaTheme="minorHAnsi"/>
        </w:rPr>
        <w:t>PCI DSS (</w:t>
      </w:r>
      <w:proofErr w:type="spellStart"/>
      <w:r w:rsidRPr="00FD3E23">
        <w:rPr>
          <w:rFonts w:eastAsiaTheme="minorHAnsi"/>
        </w:rPr>
        <w:t>Payment</w:t>
      </w:r>
      <w:proofErr w:type="spellEnd"/>
      <w:r w:rsidRPr="00FD3E23">
        <w:rPr>
          <w:rFonts w:eastAsiaTheme="minorHAnsi"/>
        </w:rPr>
        <w:t xml:space="preserve"> Card Industry Data Security Standard): Этот стандарт устанавливает требования по обработке, хранению, передаче и защите информации о платежных картах.</w:t>
      </w:r>
    </w:p>
    <w:p w14:paraId="121BAEF8" w14:textId="77777777" w:rsidR="00FD3E23" w:rsidRPr="00FD3E23" w:rsidRDefault="00FD3E23" w:rsidP="00726A6B">
      <w:pPr>
        <w:pStyle w:val="af1"/>
        <w:rPr>
          <w:rFonts w:eastAsiaTheme="minorHAnsi"/>
        </w:rPr>
      </w:pPr>
      <w:proofErr w:type="spellStart"/>
      <w:r w:rsidRPr="00FD3E23">
        <w:rPr>
          <w:rFonts w:eastAsiaTheme="minorHAnsi"/>
        </w:rPr>
        <w:t>Cybersecurity</w:t>
      </w:r>
      <w:proofErr w:type="spellEnd"/>
      <w:r w:rsidRPr="00FD3E23">
        <w:rPr>
          <w:rFonts w:eastAsiaTheme="minorHAnsi"/>
        </w:rPr>
        <w:t xml:space="preserve"> Framework (CSF) от NIST: Этот документ предоставляет руководство по улучшению кибербезопасности организации путем применения согласованных фреймворков, стандартов и практик.</w:t>
      </w:r>
    </w:p>
    <w:p w14:paraId="223888B4" w14:textId="6AB6C88B" w:rsidR="002A4D63" w:rsidRPr="00E30FD5" w:rsidRDefault="002A4D63" w:rsidP="002A4D63">
      <w:pPr>
        <w:pStyle w:val="123"/>
      </w:pPr>
      <w:r>
        <w:t>Вывод</w:t>
      </w:r>
    </w:p>
    <w:p w14:paraId="6DE1389B" w14:textId="661C060C" w:rsidR="002A4D63" w:rsidRPr="005830D6" w:rsidRDefault="002A4D63" w:rsidP="00726A6B">
      <w:pPr>
        <w:pStyle w:val="af1"/>
      </w:pPr>
      <w:r>
        <w:t>Ознакоми</w:t>
      </w:r>
      <w:r>
        <w:t>лся</w:t>
      </w:r>
      <w:r>
        <w:rPr>
          <w:spacing w:val="14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правовой</w:t>
      </w:r>
      <w:r>
        <w:rPr>
          <w:spacing w:val="14"/>
        </w:rPr>
        <w:t xml:space="preserve"> </w:t>
      </w:r>
      <w:r>
        <w:t>сферой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области</w:t>
      </w:r>
      <w:r>
        <w:rPr>
          <w:spacing w:val="16"/>
        </w:rPr>
        <w:t xml:space="preserve"> </w:t>
      </w:r>
      <w:proofErr w:type="gramStart"/>
      <w:r>
        <w:t xml:space="preserve">информационной </w:t>
      </w:r>
      <w:r>
        <w:rPr>
          <w:spacing w:val="-67"/>
        </w:rPr>
        <w:t xml:space="preserve"> </w:t>
      </w:r>
      <w:r>
        <w:t>безопасности</w:t>
      </w:r>
      <w:proofErr w:type="gramEnd"/>
      <w:r w:rsidRPr="009A595A">
        <w:t>.</w:t>
      </w:r>
    </w:p>
    <w:p w14:paraId="141FC796" w14:textId="77777777" w:rsidR="002A4D63" w:rsidRPr="00734D9C" w:rsidRDefault="002A4D63" w:rsidP="005830D6">
      <w:pPr>
        <w:tabs>
          <w:tab w:val="left" w:pos="2097"/>
          <w:tab w:val="left" w:pos="2098"/>
        </w:tabs>
        <w:spacing w:after="0"/>
        <w:rPr>
          <w:rFonts w:cs="Times New Roman"/>
          <w:szCs w:val="28"/>
        </w:rPr>
      </w:pPr>
    </w:p>
    <w:p w14:paraId="60F4A5A9" w14:textId="77777777" w:rsidR="00CA7B81" w:rsidRPr="009A595A" w:rsidRDefault="00CA7B81" w:rsidP="005830D6">
      <w:pPr>
        <w:spacing w:after="0"/>
        <w:ind w:left="360"/>
        <w:jc w:val="center"/>
        <w:rPr>
          <w:rFonts w:cs="Times New Roman"/>
          <w:bCs/>
          <w:szCs w:val="28"/>
        </w:rPr>
      </w:pPr>
    </w:p>
    <w:p w14:paraId="2484310B" w14:textId="77777777" w:rsidR="00CA7B81" w:rsidRPr="009A595A" w:rsidRDefault="00CA7B81" w:rsidP="005830D6">
      <w:pPr>
        <w:spacing w:after="0"/>
        <w:ind w:left="360"/>
        <w:jc w:val="center"/>
        <w:rPr>
          <w:rFonts w:cs="Times New Roman"/>
          <w:b/>
          <w:bCs/>
          <w:szCs w:val="28"/>
        </w:rPr>
      </w:pPr>
    </w:p>
    <w:p w14:paraId="7E5A3501" w14:textId="77777777" w:rsidR="00CA7B81" w:rsidRPr="009A595A" w:rsidRDefault="00CA7B81" w:rsidP="00CA7B81">
      <w:pPr>
        <w:spacing w:after="0"/>
        <w:ind w:left="360"/>
        <w:jc w:val="center"/>
        <w:rPr>
          <w:rFonts w:cs="Times New Roman"/>
          <w:b/>
          <w:bCs/>
          <w:szCs w:val="28"/>
        </w:rPr>
      </w:pPr>
    </w:p>
    <w:sectPr w:rsidR="00CA7B81" w:rsidRPr="009A595A" w:rsidSect="00AB2A41">
      <w:headerReference w:type="default" r:id="rId24"/>
      <w:footerReference w:type="default" r:id="rId25"/>
      <w:pgSz w:w="11906" w:h="16838"/>
      <w:pgMar w:top="1134" w:right="851" w:bottom="1134" w:left="1701" w:header="0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82C5" w14:textId="77777777" w:rsidR="005A0943" w:rsidRDefault="005A0943">
      <w:pPr>
        <w:spacing w:line="240" w:lineRule="auto"/>
      </w:pPr>
      <w:r>
        <w:separator/>
      </w:r>
    </w:p>
  </w:endnote>
  <w:endnote w:type="continuationSeparator" w:id="0">
    <w:p w14:paraId="20FD3EBA" w14:textId="77777777" w:rsidR="005A0943" w:rsidRDefault="005A0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644865"/>
      <w:docPartObj>
        <w:docPartGallery w:val="Page Numbers (Bottom of Page)"/>
        <w:docPartUnique/>
      </w:docPartObj>
    </w:sdtPr>
    <w:sdtEndPr/>
    <w:sdtContent>
      <w:p w14:paraId="79A30EFA" w14:textId="77777777" w:rsidR="00172EBC" w:rsidRDefault="00172EB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D98">
          <w:rPr>
            <w:noProof/>
          </w:rPr>
          <w:t>2</w:t>
        </w:r>
        <w:r>
          <w:fldChar w:fldCharType="end"/>
        </w:r>
      </w:p>
    </w:sdtContent>
  </w:sdt>
  <w:p w14:paraId="7F827EB5" w14:textId="77777777" w:rsidR="00172EBC" w:rsidRDefault="00172EBC">
    <w:pPr>
      <w:pStyle w:val="ab"/>
    </w:pPr>
  </w:p>
  <w:p w14:paraId="61DDD791" w14:textId="77777777" w:rsidR="00000000" w:rsidRDefault="005A09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5C90" w14:textId="77777777" w:rsidR="005A0943" w:rsidRDefault="005A0943">
      <w:pPr>
        <w:spacing w:line="240" w:lineRule="auto"/>
      </w:pPr>
      <w:r>
        <w:separator/>
      </w:r>
    </w:p>
  </w:footnote>
  <w:footnote w:type="continuationSeparator" w:id="0">
    <w:p w14:paraId="6CF29CAB" w14:textId="77777777" w:rsidR="005A0943" w:rsidRDefault="005A0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A7A0" w14:textId="77777777" w:rsidR="00172EBC" w:rsidRDefault="00172EBC">
    <w:pPr>
      <w:pStyle w:val="a4"/>
    </w:pPr>
  </w:p>
  <w:p w14:paraId="6F208D33" w14:textId="77777777" w:rsidR="00AD162E" w:rsidRDefault="00AD16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eastAsia="Times New Roman" w:cs="Times New Roman"/>
        <w:color w:val="000000"/>
        <w:szCs w:val="28"/>
      </w:rPr>
    </w:pPr>
  </w:p>
  <w:p w14:paraId="4942CC7F" w14:textId="77777777" w:rsidR="00000000" w:rsidRDefault="005A09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2B87B9C"/>
    <w:multiLevelType w:val="multilevel"/>
    <w:tmpl w:val="BC361C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315"/>
    <w:multiLevelType w:val="hybridMultilevel"/>
    <w:tmpl w:val="9B1CF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06FBA"/>
    <w:multiLevelType w:val="hybridMultilevel"/>
    <w:tmpl w:val="0346F3A0"/>
    <w:lvl w:ilvl="0" w:tplc="F0D022D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1E0787B"/>
    <w:multiLevelType w:val="hybridMultilevel"/>
    <w:tmpl w:val="A6B28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C50BE5"/>
    <w:multiLevelType w:val="hybridMultilevel"/>
    <w:tmpl w:val="3BE63862"/>
    <w:lvl w:ilvl="0" w:tplc="EA321D5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62427"/>
    <w:multiLevelType w:val="hybridMultilevel"/>
    <w:tmpl w:val="975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F3946"/>
    <w:multiLevelType w:val="hybridMultilevel"/>
    <w:tmpl w:val="AA062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2ED84DC9"/>
    <w:multiLevelType w:val="hybridMultilevel"/>
    <w:tmpl w:val="AEC8D54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39541006"/>
    <w:multiLevelType w:val="hybridMultilevel"/>
    <w:tmpl w:val="50CE5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460865"/>
    <w:multiLevelType w:val="multilevel"/>
    <w:tmpl w:val="932EF0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347C5"/>
    <w:multiLevelType w:val="hybridMultilevel"/>
    <w:tmpl w:val="4D5416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F17A38"/>
    <w:multiLevelType w:val="hybridMultilevel"/>
    <w:tmpl w:val="2FB21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6779B"/>
    <w:multiLevelType w:val="hybridMultilevel"/>
    <w:tmpl w:val="61069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6436"/>
    <w:multiLevelType w:val="hybridMultilevel"/>
    <w:tmpl w:val="9398B46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7A73728C"/>
    <w:multiLevelType w:val="hybridMultilevel"/>
    <w:tmpl w:val="94D6667C"/>
    <w:lvl w:ilvl="0" w:tplc="AD70443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8"/>
  </w:num>
  <w:num w:numId="4">
    <w:abstractNumId w:val="7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13"/>
  </w:num>
  <w:num w:numId="14">
    <w:abstractNumId w:val="16"/>
  </w:num>
  <w:num w:numId="15">
    <w:abstractNumId w:val="5"/>
  </w:num>
  <w:num w:numId="16">
    <w:abstractNumId w:val="17"/>
  </w:num>
  <w:num w:numId="17">
    <w:abstractNumId w:val="9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2E"/>
    <w:rsid w:val="0011235E"/>
    <w:rsid w:val="00172EBC"/>
    <w:rsid w:val="001D13A6"/>
    <w:rsid w:val="00241D83"/>
    <w:rsid w:val="002A4D63"/>
    <w:rsid w:val="002C1D43"/>
    <w:rsid w:val="002F24C6"/>
    <w:rsid w:val="00350BB0"/>
    <w:rsid w:val="0052522A"/>
    <w:rsid w:val="00570870"/>
    <w:rsid w:val="005830D6"/>
    <w:rsid w:val="005A0943"/>
    <w:rsid w:val="005B57D9"/>
    <w:rsid w:val="005D2492"/>
    <w:rsid w:val="006105EA"/>
    <w:rsid w:val="00696184"/>
    <w:rsid w:val="00714FEF"/>
    <w:rsid w:val="0072231D"/>
    <w:rsid w:val="00726A6B"/>
    <w:rsid w:val="00734D9C"/>
    <w:rsid w:val="0076705A"/>
    <w:rsid w:val="00797430"/>
    <w:rsid w:val="007B3127"/>
    <w:rsid w:val="008435E9"/>
    <w:rsid w:val="0089266A"/>
    <w:rsid w:val="00956F3D"/>
    <w:rsid w:val="009D74B9"/>
    <w:rsid w:val="00A130FE"/>
    <w:rsid w:val="00A57016"/>
    <w:rsid w:val="00A85473"/>
    <w:rsid w:val="00A934A4"/>
    <w:rsid w:val="00AB2A41"/>
    <w:rsid w:val="00AD162E"/>
    <w:rsid w:val="00B24DB3"/>
    <w:rsid w:val="00B42D98"/>
    <w:rsid w:val="00B479AF"/>
    <w:rsid w:val="00B71F1D"/>
    <w:rsid w:val="00BB3249"/>
    <w:rsid w:val="00C50960"/>
    <w:rsid w:val="00CA51E9"/>
    <w:rsid w:val="00CA7B81"/>
    <w:rsid w:val="00CB2F20"/>
    <w:rsid w:val="00DC3C0E"/>
    <w:rsid w:val="00DE54FD"/>
    <w:rsid w:val="00E30FD5"/>
    <w:rsid w:val="00F17663"/>
    <w:rsid w:val="00FA4FE6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C9502"/>
  <w15:docId w15:val="{7BCCF4EA-6C12-451D-BA11-1F6F607A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16"/>
    <w:pPr>
      <w:spacing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заголовок лаба"/>
    <w:basedOn w:val="1"/>
    <w:next w:val="1"/>
    <w:link w:val="70"/>
    <w:uiPriority w:val="9"/>
    <w:unhideWhenUsed/>
    <w:qFormat/>
    <w:rsid w:val="00C50960"/>
    <w:pPr>
      <w:spacing w:before="0" w:after="0"/>
      <w:jc w:val="center"/>
      <w:outlineLvl w:val="6"/>
    </w:pPr>
    <w:rPr>
      <w:rFonts w:eastAsiaTheme="majorEastAsia" w:cstheme="majorBidi"/>
      <w:iCs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C509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509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1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72231D"/>
    <w:rPr>
      <w:b/>
      <w:bCs/>
    </w:rPr>
  </w:style>
  <w:style w:type="paragraph" w:styleId="ab">
    <w:name w:val="footer"/>
    <w:basedOn w:val="a"/>
    <w:link w:val="ac"/>
    <w:uiPriority w:val="99"/>
    <w:unhideWhenUsed/>
    <w:rsid w:val="00172EB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2EBC"/>
  </w:style>
  <w:style w:type="character" w:customStyle="1" w:styleId="70">
    <w:name w:val="Заголовок 7 Знак"/>
    <w:aliases w:val="заголовок лаба Знак"/>
    <w:basedOn w:val="a0"/>
    <w:link w:val="7"/>
    <w:uiPriority w:val="9"/>
    <w:rsid w:val="00B24DB3"/>
    <w:rPr>
      <w:rFonts w:ascii="Times New Roman" w:eastAsiaTheme="majorEastAsia" w:hAnsi="Times New Roman" w:cstheme="majorBidi"/>
      <w:b/>
      <w:iCs/>
      <w:sz w:val="32"/>
      <w:szCs w:val="48"/>
    </w:rPr>
  </w:style>
  <w:style w:type="character" w:customStyle="1" w:styleId="80">
    <w:name w:val="Заголовок 8 Знак"/>
    <w:basedOn w:val="a0"/>
    <w:link w:val="8"/>
    <w:uiPriority w:val="9"/>
    <w:rsid w:val="00C50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d">
    <w:name w:val="TOC Heading"/>
    <w:basedOn w:val="1"/>
    <w:next w:val="a"/>
    <w:uiPriority w:val="39"/>
    <w:unhideWhenUsed/>
    <w:qFormat/>
    <w:rsid w:val="00C5096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90">
    <w:name w:val="Заголовок 9 Знак"/>
    <w:basedOn w:val="a0"/>
    <w:link w:val="9"/>
    <w:uiPriority w:val="9"/>
    <w:rsid w:val="00C50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C50960"/>
    <w:pPr>
      <w:spacing w:after="100"/>
    </w:pPr>
  </w:style>
  <w:style w:type="paragraph" w:customStyle="1" w:styleId="123">
    <w:name w:val="123"/>
    <w:basedOn w:val="1"/>
    <w:next w:val="1"/>
    <w:link w:val="1230"/>
    <w:autoRedefine/>
    <w:qFormat/>
    <w:rsid w:val="002A4D63"/>
    <w:pPr>
      <w:spacing w:before="0" w:after="0"/>
      <w:jc w:val="center"/>
    </w:pPr>
    <w:rPr>
      <w:rFonts w:eastAsia="Times New Roman"/>
      <w:sz w:val="32"/>
    </w:rPr>
  </w:style>
  <w:style w:type="character" w:styleId="ae">
    <w:name w:val="Hyperlink"/>
    <w:basedOn w:val="a0"/>
    <w:uiPriority w:val="99"/>
    <w:unhideWhenUsed/>
    <w:rsid w:val="00B24DB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B24DB3"/>
    <w:rPr>
      <w:b/>
      <w:sz w:val="48"/>
      <w:szCs w:val="48"/>
    </w:rPr>
  </w:style>
  <w:style w:type="character" w:customStyle="1" w:styleId="1230">
    <w:name w:val="123 Знак"/>
    <w:basedOn w:val="10"/>
    <w:link w:val="123"/>
    <w:rsid w:val="002A4D63"/>
    <w:rPr>
      <w:rFonts w:ascii="Times New Roman" w:eastAsia="Times New Roman" w:hAnsi="Times New Roman" w:cstheme="minorBidi"/>
      <w:b/>
      <w:sz w:val="32"/>
      <w:szCs w:val="48"/>
      <w:lang w:eastAsia="en-US"/>
    </w:rPr>
  </w:style>
  <w:style w:type="paragraph" w:customStyle="1" w:styleId="af">
    <w:name w:val="подпись рисунка"/>
    <w:basedOn w:val="a"/>
    <w:link w:val="af0"/>
    <w:qFormat/>
    <w:rsid w:val="00A130FE"/>
    <w:pPr>
      <w:ind w:firstLine="71"/>
      <w:jc w:val="center"/>
    </w:pPr>
    <w:rPr>
      <w:rFonts w:eastAsia="Times New Roman" w:cs="Times New Roman"/>
      <w:noProof/>
      <w:color w:val="000000"/>
      <w:sz w:val="24"/>
      <w:szCs w:val="28"/>
    </w:rPr>
  </w:style>
  <w:style w:type="character" w:customStyle="1" w:styleId="af0">
    <w:name w:val="подпись рисунка Знак"/>
    <w:basedOn w:val="a0"/>
    <w:link w:val="af"/>
    <w:rsid w:val="00A130FE"/>
    <w:rPr>
      <w:rFonts w:ascii="Times New Roman" w:eastAsia="Times New Roman" w:hAnsi="Times New Roman" w:cs="Times New Roman"/>
      <w:noProof/>
      <w:color w:val="000000"/>
      <w:sz w:val="24"/>
      <w:szCs w:val="28"/>
    </w:rPr>
  </w:style>
  <w:style w:type="paragraph" w:styleId="af1">
    <w:name w:val="Body Text"/>
    <w:basedOn w:val="a"/>
    <w:link w:val="af2"/>
    <w:autoRedefine/>
    <w:uiPriority w:val="1"/>
    <w:qFormat/>
    <w:rsid w:val="00726A6B"/>
    <w:pPr>
      <w:widowControl w:val="0"/>
      <w:autoSpaceDE w:val="0"/>
      <w:autoSpaceDN w:val="0"/>
      <w:spacing w:after="0"/>
    </w:pPr>
    <w:rPr>
      <w:rFonts w:eastAsia="Times New Roman" w:cs="Times New Roman"/>
      <w:szCs w:val="28"/>
      <w:shd w:val="clear" w:color="auto" w:fill="FFFFFF"/>
    </w:rPr>
  </w:style>
  <w:style w:type="character" w:customStyle="1" w:styleId="af2">
    <w:name w:val="Основной текст Знак"/>
    <w:basedOn w:val="a0"/>
    <w:link w:val="af1"/>
    <w:uiPriority w:val="1"/>
    <w:rsid w:val="00726A6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CA7B81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3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32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55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5393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2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96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4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0426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684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67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4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691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275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1669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665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80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3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nsultant.ru/document/cons_doc_LAW_434573/7ad11c1823e584a73bbfbac49e996e617343f1ca/" TargetMode="External"/><Relationship Id="rId18" Type="http://schemas.openxmlformats.org/officeDocument/2006/relationships/hyperlink" Target="https://www.consultant.ru/document/cons_doc_LAW_434573/7ad11c1823e584a73bbfbac49e996e617343f1ca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onsultant.ru/document/cons_doc_LAW_10699/a4d58c1af8677d94b4fc8987c71b131f10476a76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consultant.ru/document/cons_doc_LAW_161817/2e91d385fb5ad4a0d4cf31b897557e83e5e64009/" TargetMode="External"/><Relationship Id="rId17" Type="http://schemas.openxmlformats.org/officeDocument/2006/relationships/hyperlink" Target="https://www.consultant.ru/document/cons_doc_LAW_161817/2e91d385fb5ad4a0d4cf31b897557e83e5e64009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10699/a4d58c1af8677d94b4fc8987c71b131f10476a76/" TargetMode="External"/><Relationship Id="rId20" Type="http://schemas.openxmlformats.org/officeDocument/2006/relationships/hyperlink" Target="https://www.consultant.ru/document/cons_doc_LAW_10699/a4d58c1af8677d94b4fc8987c71b131f10476a7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sultant.ru/document/cons_doc_LAW_10699/a4d58c1af8677d94b4fc8987c71b131f10476a76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consultant.ru/document/cons_doc_LAW_10699/a4d58c1af8677d94b4fc8987c71b131f10476a76/" TargetMode="External"/><Relationship Id="rId23" Type="http://schemas.openxmlformats.org/officeDocument/2006/relationships/hyperlink" Target="https://www.consultant.ru/document/cons_doc_LAW_434573/7ad11c1823e584a73bbfbac49e996e617343f1ca/" TargetMode="External"/><Relationship Id="rId10" Type="http://schemas.openxmlformats.org/officeDocument/2006/relationships/hyperlink" Target="https://www.consultant.ru/document/cons_doc_LAW_10699/a4d58c1af8677d94b4fc8987c71b131f10476a76/" TargetMode="External"/><Relationship Id="rId19" Type="http://schemas.openxmlformats.org/officeDocument/2006/relationships/hyperlink" Target="https://www.consultant.ru/document/cons_doc_LAW_10699/a4d58c1af8677d94b4fc8987c71b131f10476a76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onsultant.ru/document/cons_doc_LAW_10699/a4d58c1af8677d94b4fc8987c71b131f10476a76/" TargetMode="External"/><Relationship Id="rId14" Type="http://schemas.openxmlformats.org/officeDocument/2006/relationships/hyperlink" Target="https://www.consultant.ru/document/cons_doc_LAW_469788/5c337673c261a026c476d578035ce68a0ae86da0/" TargetMode="External"/><Relationship Id="rId22" Type="http://schemas.openxmlformats.org/officeDocument/2006/relationships/hyperlink" Target="https://www.consultant.ru/document/cons_doc_LAW_161817/2e91d385fb5ad4a0d4cf31b897557e83e5e64009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7E568D6B-2F02-4485-8D52-112D7915C9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Заид</dc:creator>
  <cp:lastModifiedBy>Данила Валеев</cp:lastModifiedBy>
  <cp:revision>10</cp:revision>
  <dcterms:created xsi:type="dcterms:W3CDTF">2023-10-12T05:05:00Z</dcterms:created>
  <dcterms:modified xsi:type="dcterms:W3CDTF">2024-03-18T09:26:00Z</dcterms:modified>
</cp:coreProperties>
</file>