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95ACD" w14:textId="4E84C78A" w:rsidR="002C43C2" w:rsidRPr="00574373" w:rsidRDefault="00795B43" w:rsidP="00795B43">
      <w:pPr>
        <w:spacing w:before="100" w:beforeAutospacing="1" w:after="100" w:afterAutospacing="1" w:line="240" w:lineRule="auto"/>
        <w:outlineLvl w:val="0"/>
        <w:rPr>
          <w:rFonts w:ascii="Lato" w:eastAsia="Times New Roman" w:hAnsi="Lato" w:cs="Times New Roman"/>
          <w:b/>
          <w:bCs/>
          <w:color w:val="212529"/>
          <w:kern w:val="36"/>
          <w:sz w:val="40"/>
          <w:szCs w:val="40"/>
          <w14:ligatures w14:val="none"/>
        </w:rPr>
      </w:pPr>
      <w:r w:rsidRPr="00574373">
        <w:rPr>
          <w:rFonts w:ascii="Lato" w:eastAsia="Times New Roman" w:hAnsi="Lato" w:cs="Times New Roman"/>
          <w:b/>
          <w:bCs/>
          <w:color w:val="212529"/>
          <w:kern w:val="36"/>
          <w:sz w:val="40"/>
          <w:szCs w:val="40"/>
          <w14:ligatures w14:val="none"/>
        </w:rPr>
        <w:t>AKI KDIGO Definition</w:t>
      </w:r>
    </w:p>
    <w:p w14:paraId="3A9DC5A3" w14:textId="77777777" w:rsidR="00795B43" w:rsidRPr="00795B43" w:rsidRDefault="00795B43" w:rsidP="00795B43">
      <w:pPr>
        <w:spacing w:after="100" w:afterAutospacing="1" w:line="240" w:lineRule="auto"/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</w:pP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Development of KDIGO stage 2 or 3 AKI in the first 7 days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 (n, %)**</w:t>
      </w:r>
    </w:p>
    <w:p w14:paraId="51B3CCAA" w14:textId="77777777" w:rsidR="00795B43" w:rsidRPr="00795B43" w:rsidRDefault="00795B43" w:rsidP="00795B43">
      <w:pPr>
        <w:spacing w:after="100" w:afterAutospacing="1" w:line="240" w:lineRule="auto"/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</w:pP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KDIGO Stage 1: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br/>
        <w:t>Increase in serum creatinine of </w:t>
      </w: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1.5–1.9× baseline serum creatinine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br/>
      </w: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OR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 increase in serum creatinine by </w:t>
      </w: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≥ 0.3 mg/dL</w:t>
      </w:r>
    </w:p>
    <w:p w14:paraId="79BF766A" w14:textId="77777777" w:rsidR="00795B43" w:rsidRPr="00795B43" w:rsidRDefault="00795B43" w:rsidP="00795B43">
      <w:pPr>
        <w:spacing w:after="100" w:afterAutospacing="1" w:line="240" w:lineRule="auto"/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</w:pP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KDIGO Stage 2: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br/>
        <w:t>Increase in serum creatinine of </w:t>
      </w: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≥2–2.9× (≥2× and &lt;3×) baseline serum creatinine</w:t>
      </w:r>
    </w:p>
    <w:p w14:paraId="412EA67C" w14:textId="77777777" w:rsidR="00795B43" w:rsidRPr="00795B43" w:rsidRDefault="00795B43" w:rsidP="00795B43">
      <w:pPr>
        <w:spacing w:after="100" w:afterAutospacing="1" w:line="240" w:lineRule="auto"/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</w:pP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KDIGO Stage 3: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br/>
        <w:t>Increase in serum creatinine of </w:t>
      </w: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≥3× baseline serum creatinine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br/>
      </w: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OR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 serum creatinine </w:t>
      </w: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&gt; 4.0 mg/dL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br/>
      </w: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OR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 decrease in </w:t>
      </w: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eGFR &lt; 35 mL/min/1.73 m²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 (for patients &lt;18 years old)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br/>
      </w: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OR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 use of </w:t>
      </w: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new renal replacement therapy</w:t>
      </w:r>
    </w:p>
    <w:p w14:paraId="35B5C521" w14:textId="77777777" w:rsidR="00795B43" w:rsidRPr="00795B43" w:rsidRDefault="00AF6BCA" w:rsidP="00795B43">
      <w:pPr>
        <w:spacing w:after="0" w:line="240" w:lineRule="auto"/>
        <w:rPr>
          <w:rFonts w:ascii="Lato" w:eastAsia="Times New Roman" w:hAnsi="Lato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59EE34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5853EA" w14:textId="77777777" w:rsidR="00795B43" w:rsidRPr="00795B43" w:rsidRDefault="00795B43" w:rsidP="00795B43">
      <w:pPr>
        <w:spacing w:after="100" w:afterAutospacing="1" w:line="240" w:lineRule="auto"/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</w:pP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*</w:t>
      </w: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Notes</w:t>
      </w:r>
    </w:p>
    <w:p w14:paraId="6C97F213" w14:textId="77777777" w:rsidR="00795B43" w:rsidRPr="00795B43" w:rsidRDefault="00795B43" w:rsidP="00795B43">
      <w:pPr>
        <w:spacing w:after="100" w:afterAutospacing="1" w:line="240" w:lineRule="auto"/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</w:pP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AKI Assessment Criteria</w:t>
      </w:r>
    </w:p>
    <w:p w14:paraId="1C2EBA57" w14:textId="77777777" w:rsidR="00795B43" w:rsidRPr="00795B43" w:rsidRDefault="00795B43" w:rsidP="00795B43">
      <w:pPr>
        <w:spacing w:after="100" w:afterAutospacing="1" w:line="240" w:lineRule="auto"/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</w:pP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Increase in serum creatinine of ≥ N× baseline serum creatinine</w:t>
      </w:r>
    </w:p>
    <w:p w14:paraId="47AF639D" w14:textId="56E7D811" w:rsidR="00795B43" w:rsidRPr="00795B43" w:rsidRDefault="00795B43" w:rsidP="00795B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</w:pP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Use the lowest serum creatinine (Scr) value within 365 days prior to the cohort start date,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br/>
        <w:t>or use the hard-coded baseline values if no measurements exist.</w:t>
      </w:r>
    </w:p>
    <w:p w14:paraId="2E8D46DE" w14:textId="77777777" w:rsidR="00795B43" w:rsidRPr="00795B43" w:rsidRDefault="00795B43" w:rsidP="00795B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</w:pP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Compare the current </w:t>
      </w: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maximum serum creatinine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 to this baseline to determine whether there has been an N×-fold increase.</w:t>
      </w:r>
    </w:p>
    <w:p w14:paraId="7CE47B67" w14:textId="77777777" w:rsidR="00795B43" w:rsidRPr="00795B43" w:rsidRDefault="00795B43" w:rsidP="00795B43">
      <w:pPr>
        <w:spacing w:after="100" w:afterAutospacing="1" w:line="240" w:lineRule="auto"/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</w:pP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Decrease in eGFR to &lt;35 mL/min/1.73 m²</w:t>
      </w:r>
    </w:p>
    <w:p w14:paraId="645F0691" w14:textId="481627F1" w:rsidR="00795B43" w:rsidRPr="00795B43" w:rsidRDefault="00795B43" w:rsidP="00795B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</w:pP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Use the</w:t>
      </w: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 xml:space="preserve"> equation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 to calculate eGFR (see </w:t>
      </w:r>
      <w:r w:rsidRPr="00795B43">
        <w:rPr>
          <w:rFonts w:ascii="Lato" w:eastAsia="Times New Roman" w:hAnsi="Lato" w:cs="Times New Roman"/>
          <w:i/>
          <w:iCs/>
          <w:color w:val="212529"/>
          <w:kern w:val="0"/>
          <w:sz w:val="26"/>
          <w:szCs w:val="26"/>
          <w14:ligatures w14:val="none"/>
        </w:rPr>
        <w:t>eGFR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 section below for details).</w:t>
      </w:r>
    </w:p>
    <w:p w14:paraId="2C8BD4F3" w14:textId="77777777" w:rsidR="00795B43" w:rsidRPr="00795B43" w:rsidRDefault="00795B43" w:rsidP="00795B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</w:pP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Identify the </w:t>
      </w: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maximum Scr value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 and the corresponding </w:t>
      </w: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lowest eGFR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.</w:t>
      </w:r>
    </w:p>
    <w:p w14:paraId="0B7533D0" w14:textId="77777777" w:rsidR="00795B43" w:rsidRPr="00795B43" w:rsidRDefault="00795B43" w:rsidP="00795B43">
      <w:pPr>
        <w:spacing w:after="100" w:afterAutospacing="1" w:line="240" w:lineRule="auto"/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</w:pP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Use of new renal replacement therapy (RRT)</w:t>
      </w:r>
    </w:p>
    <w:p w14:paraId="2A517B9F" w14:textId="77777777" w:rsidR="00795B43" w:rsidRPr="00795B43" w:rsidRDefault="00795B43" w:rsidP="00795B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</w:pP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Exclusion: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 Perform a 60-day look-back prior to cohort start date.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br/>
        <w:t>Flag and exclude patients who were already on RRT.</w:t>
      </w:r>
    </w:p>
    <w:p w14:paraId="13003A10" w14:textId="77777777" w:rsidR="00795B43" w:rsidRPr="00795B43" w:rsidRDefault="00795B43" w:rsidP="00795B43">
      <w:pPr>
        <w:spacing w:after="100" w:afterAutospacing="1" w:line="240" w:lineRule="auto"/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</w:pP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Duration criterion</w:t>
      </w:r>
    </w:p>
    <w:p w14:paraId="0AC02D3D" w14:textId="77777777" w:rsidR="00795B43" w:rsidRPr="00795B43" w:rsidRDefault="00795B43" w:rsidP="00795B43">
      <w:pPr>
        <w:spacing w:after="100" w:afterAutospacing="1" w:line="240" w:lineRule="auto"/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</w:pP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lastRenderedPageBreak/>
        <w:t>The criterion must be present for </w:t>
      </w: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at least two consecutive calendar days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,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br/>
      </w: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or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 present on the </w:t>
      </w: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day of death</w:t>
      </w: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 if the patient dies before two days.</w:t>
      </w:r>
    </w:p>
    <w:p w14:paraId="09944432" w14:textId="77777777" w:rsidR="00795B43" w:rsidRPr="00795B43" w:rsidRDefault="00795B43" w:rsidP="00795B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</w:pP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Two consecutive days may involve increasing severity (e.g., Stage 2 on Day 1 → Stage 3 on Day 2 → label as Stage 3).</w:t>
      </w:r>
    </w:p>
    <w:p w14:paraId="1808ED23" w14:textId="77777777" w:rsidR="00795B43" w:rsidRPr="00795B43" w:rsidRDefault="00795B43" w:rsidP="00795B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</w:pP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If the patient meets the qualifying criterion on Day 1 and dies on Day 2, the case is considered positive.</w:t>
      </w:r>
    </w:p>
    <w:p w14:paraId="297E0952" w14:textId="77777777" w:rsidR="00795B43" w:rsidRPr="00795B43" w:rsidRDefault="00795B43" w:rsidP="00795B43">
      <w:pPr>
        <w:spacing w:after="100" w:afterAutospacing="1" w:line="240" w:lineRule="auto"/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</w:pP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*</w:t>
      </w:r>
      <w:r w:rsidRPr="00795B43">
        <w:rPr>
          <w:rFonts w:ascii="Lato" w:eastAsia="Times New Roman" w:hAnsi="Lato" w:cs="Times New Roman"/>
          <w:b/>
          <w:bCs/>
          <w:color w:val="212529"/>
          <w:kern w:val="0"/>
          <w:sz w:val="26"/>
          <w:szCs w:val="26"/>
          <w14:ligatures w14:val="none"/>
        </w:rPr>
        <w:t>CKiD U25 EGFR equations</w:t>
      </w:r>
    </w:p>
    <w:p w14:paraId="66D1E31A" w14:textId="4A75C6B4" w:rsidR="00795B43" w:rsidRDefault="00795B43" w:rsidP="00795B43">
      <w:pPr>
        <w:spacing w:after="100" w:afterAutospacing="1" w:line="240" w:lineRule="auto"/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</w:pP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 xml:space="preserve">Formula Approach: This approach involves implementing the formula provided by the CKiD U25 manuscript directly. This is the approach used in the calculator that the CKiD U25 manuscript links: </w:t>
      </w:r>
      <w:hyperlink r:id="rId5" w:history="1">
        <w:r w:rsidRPr="00795B43">
          <w:rPr>
            <w:rStyle w:val="Hyperlink"/>
            <w:rFonts w:ascii="Lato" w:eastAsia="Times New Roman" w:hAnsi="Lato" w:cs="Times New Roman"/>
            <w:kern w:val="0"/>
            <w:sz w:val="26"/>
            <w:szCs w:val="26"/>
            <w14:ligatures w14:val="none"/>
          </w:rPr>
          <w:t>https://ckid-gfrcalculator.shinyapps.io/eGFR/</w:t>
        </w:r>
      </w:hyperlink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 xml:space="preserve"> </w:t>
      </w:r>
    </w:p>
    <w:p w14:paraId="63384BB4" w14:textId="78E791D0" w:rsidR="00795B43" w:rsidRPr="00795B43" w:rsidRDefault="00795B43" w:rsidP="00795B43">
      <w:pPr>
        <w:spacing w:after="100" w:afterAutospacing="1" w:line="240" w:lineRule="auto"/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</w:pPr>
      <w:r w:rsidRPr="00795B43">
        <w:rPr>
          <w:rFonts w:ascii="Lato" w:eastAsia="Times New Roman" w:hAnsi="Lato" w:cs="Times New Roman"/>
          <w:color w:val="212529"/>
          <w:kern w:val="0"/>
          <w:sz w:val="26"/>
          <w:szCs w:val="26"/>
          <w14:ligatures w14:val="none"/>
        </w:rPr>
        <w:t>The implausible values for height and serum creatinine associated with age and sex are applied as cut-offs. Refer to the image for more details</w:t>
      </w:r>
    </w:p>
    <w:p w14:paraId="7172B61B" w14:textId="77777777" w:rsidR="00795B43" w:rsidRPr="00795B43" w:rsidRDefault="00795B43" w:rsidP="00795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726671" w14:textId="75D297C1" w:rsidR="003A5CD5" w:rsidRDefault="00795B43">
      <w:r>
        <w:rPr>
          <w:noProof/>
        </w:rPr>
        <w:drawing>
          <wp:inline distT="0" distB="0" distL="0" distR="0" wp14:anchorId="2B14BE67" wp14:editId="5542A46C">
            <wp:extent cx="5873262" cy="2959393"/>
            <wp:effectExtent l="12700" t="12700" r="6985" b="12700"/>
            <wp:docPr id="228036386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36386" name="Picture 1" descr="A white paper with black text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" t="1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262" cy="29593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A5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1D37"/>
    <w:multiLevelType w:val="multilevel"/>
    <w:tmpl w:val="FD5C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376F5"/>
    <w:multiLevelType w:val="multilevel"/>
    <w:tmpl w:val="CCDC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768AA"/>
    <w:multiLevelType w:val="multilevel"/>
    <w:tmpl w:val="2A66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826BD"/>
    <w:multiLevelType w:val="multilevel"/>
    <w:tmpl w:val="BE26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826584">
    <w:abstractNumId w:val="1"/>
  </w:num>
  <w:num w:numId="2" w16cid:durableId="1719158879">
    <w:abstractNumId w:val="0"/>
  </w:num>
  <w:num w:numId="3" w16cid:durableId="500661618">
    <w:abstractNumId w:val="2"/>
  </w:num>
  <w:num w:numId="4" w16cid:durableId="1608729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B43"/>
    <w:rsid w:val="000E2987"/>
    <w:rsid w:val="002C43C2"/>
    <w:rsid w:val="002C561F"/>
    <w:rsid w:val="00302BDB"/>
    <w:rsid w:val="003A5CD5"/>
    <w:rsid w:val="00414AC2"/>
    <w:rsid w:val="00574373"/>
    <w:rsid w:val="0073157B"/>
    <w:rsid w:val="00795B43"/>
    <w:rsid w:val="00AF6BCA"/>
    <w:rsid w:val="00BF4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86EA2"/>
  <w15:chartTrackingRefBased/>
  <w15:docId w15:val="{1EA21186-5080-784D-9182-B52700C84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B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5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95B43"/>
    <w:rPr>
      <w:b/>
      <w:bCs/>
    </w:rPr>
  </w:style>
  <w:style w:type="character" w:customStyle="1" w:styleId="apple-converted-space">
    <w:name w:val="apple-converted-space"/>
    <w:basedOn w:val="DefaultParagraphFont"/>
    <w:rsid w:val="00795B43"/>
  </w:style>
  <w:style w:type="character" w:styleId="Emphasis">
    <w:name w:val="Emphasis"/>
    <w:basedOn w:val="DefaultParagraphFont"/>
    <w:uiPriority w:val="20"/>
    <w:qFormat/>
    <w:rsid w:val="00795B43"/>
    <w:rPr>
      <w:i/>
      <w:iCs/>
    </w:rPr>
  </w:style>
  <w:style w:type="character" w:styleId="Hyperlink">
    <w:name w:val="Hyperlink"/>
    <w:basedOn w:val="DefaultParagraphFont"/>
    <w:uiPriority w:val="99"/>
    <w:unhideWhenUsed/>
    <w:rsid w:val="00795B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B4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95B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95B4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kid-gfrcalculator.shinyapps.io/eGF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Aqsa</dc:creator>
  <cp:keywords/>
  <dc:description/>
  <cp:lastModifiedBy>Khan, Aqsa</cp:lastModifiedBy>
  <cp:revision>2</cp:revision>
  <dcterms:created xsi:type="dcterms:W3CDTF">2026-02-12T19:15:00Z</dcterms:created>
  <dcterms:modified xsi:type="dcterms:W3CDTF">2026-02-16T16:12:00Z</dcterms:modified>
</cp:coreProperties>
</file>