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671C30" w:rsidP="00671C30" w14:paraId="6CF8557E" w14:textId="77777777">
      <w:pPr>
        <w:rPr>
          <w:rFonts w:ascii="Arial" w:hAnsi="Arial"/>
          <w:b/>
          <w:color w:val="auto"/>
          <w:shd w:val="clear" w:color="auto" w:fill="auto"/>
        </w:rPr>
      </w:pPr>
    </w:p>
    <w:p w:rsidR="00D6453B" w:rsidRPr="00987ADA" w:rsidP="00987ADA" w14:paraId="0DF4C17B" w14:textId="5F6CF4F3">
      <w:pPr>
        <w:jc w:val="center"/>
        <w:rPr>
          <w:rFonts w:ascii="Arial" w:hAnsi="Arial" w:cs="Arial"/>
          <w:b/>
          <w:color w:val="auto"/>
          <w:shd w:val="clear" w:color="auto" w:fill="auto"/>
        </w:rPr>
      </w:pPr>
      <w:r w:rsidRPr="00987ADA">
        <w:rPr>
          <w:rFonts w:ascii="Arial" w:hAnsi="Arial" w:cs="Arial"/>
          <w:b/>
        </w:rPr>
        <w:t>20</w:t>
      </w:r>
      <w:r w:rsidRPr="00987ADA" w:rsidR="00782C7A">
        <w:rPr>
          <w:rFonts w:ascii="Arial" w:hAnsi="Arial" w:cs="Arial"/>
          <w:b/>
        </w:rPr>
        <w:t>2</w:t>
      </w:r>
      <w:r w:rsidR="003342C1">
        <w:rPr>
          <w:rFonts w:ascii="Arial" w:hAnsi="Arial" w:cs="Arial"/>
          <w:b/>
        </w:rPr>
        <w:t>2</w:t>
      </w:r>
      <w:r w:rsidRPr="00987ADA">
        <w:rPr>
          <w:rFonts w:ascii="Arial" w:hAnsi="Arial" w:cs="Arial"/>
          <w:b/>
        </w:rPr>
        <w:t xml:space="preserve"> RATE CASE</w:t>
      </w:r>
    </w:p>
    <w:p w:rsidR="000E18C3" w:rsidRPr="00987ADA" w:rsidP="00987ADA" w14:paraId="01AF4528" w14:textId="77777777">
      <w:pPr>
        <w:jc w:val="center"/>
        <w:rPr>
          <w:rFonts w:ascii="Arial" w:hAnsi="Arial" w:cs="Arial"/>
          <w:b/>
          <w:color w:val="auto"/>
          <w:shd w:val="clear" w:color="auto" w:fill="auto"/>
        </w:rPr>
      </w:pPr>
      <w:r w:rsidRPr="00987ADA">
        <w:rPr>
          <w:rFonts w:ascii="Arial" w:hAnsi="Arial" w:cs="Arial"/>
          <w:b/>
        </w:rPr>
        <w:t xml:space="preserve">ONCOR ELECTRIC </w:t>
      </w:r>
      <w:r w:rsidRPr="00987ADA" w:rsidR="00E33AFC">
        <w:rPr>
          <w:rFonts w:ascii="Arial" w:hAnsi="Arial" w:cs="Arial"/>
          <w:b/>
        </w:rPr>
        <w:t xml:space="preserve">DELIVERY </w:t>
      </w:r>
      <w:r w:rsidRPr="00987ADA">
        <w:rPr>
          <w:rFonts w:ascii="Arial" w:hAnsi="Arial" w:cs="Arial"/>
          <w:b/>
        </w:rPr>
        <w:t>COMPANY</w:t>
      </w:r>
      <w:r w:rsidRPr="00987ADA" w:rsidR="004A2BF3">
        <w:rPr>
          <w:rFonts w:ascii="Arial" w:hAnsi="Arial" w:cs="Arial"/>
          <w:b/>
        </w:rPr>
        <w:t xml:space="preserve"> LLC</w:t>
      </w:r>
    </w:p>
    <w:p w:rsidR="000E18C3" w:rsidRPr="00987ADA" w:rsidP="00987ADA" w14:paraId="3BFCCF39" w14:textId="7EC95F80">
      <w:pPr>
        <w:jc w:val="center"/>
        <w:rPr>
          <w:rFonts w:ascii="Arial" w:hAnsi="Arial" w:cs="Arial"/>
          <w:color w:val="auto"/>
          <w:shd w:val="clear" w:color="auto" w:fill="auto"/>
        </w:rPr>
      </w:pPr>
      <w:r w:rsidRPr="00987ADA">
        <w:rPr>
          <w:rFonts w:ascii="Arial" w:hAnsi="Arial" w:cs="Arial"/>
          <w:b/>
        </w:rPr>
        <w:t>CONTROLS</w:t>
      </w:r>
    </w:p>
    <w:p w:rsidR="000E18C3" w:rsidRPr="00987ADA" w:rsidP="00987ADA" w14:paraId="6CA68051" w14:textId="71FDF05B">
      <w:pPr>
        <w:jc w:val="center"/>
        <w:rPr>
          <w:rFonts w:ascii="Arial" w:hAnsi="Arial" w:cs="Arial"/>
          <w:b/>
          <w:color w:val="auto"/>
          <w:shd w:val="clear" w:color="auto" w:fill="auto"/>
        </w:rPr>
      </w:pPr>
      <w:r w:rsidRPr="00987ADA">
        <w:rPr>
          <w:rFonts w:ascii="Arial" w:hAnsi="Arial" w:cs="Arial"/>
          <w:b/>
        </w:rPr>
        <w:t>FOR THE TEST YEAR END</w:t>
      </w:r>
      <w:r w:rsidRPr="00987ADA" w:rsidR="00782C7A">
        <w:rPr>
          <w:rFonts w:ascii="Arial" w:hAnsi="Arial" w:cs="Arial"/>
          <w:b/>
        </w:rPr>
        <w:t>ING DECEMBER 31, 202</w:t>
      </w:r>
      <w:r w:rsidR="003342C1">
        <w:rPr>
          <w:rFonts w:ascii="Arial" w:hAnsi="Arial" w:cs="Arial"/>
          <w:b/>
        </w:rPr>
        <w:t>1</w:t>
      </w:r>
    </w:p>
    <w:p w:rsidR="000E18C3" w:rsidRPr="00987ADA" w:rsidP="00987ADA" w14:paraId="6A26240F" w14:textId="1685235F">
      <w:pPr>
        <w:jc w:val="center"/>
        <w:rPr>
          <w:rFonts w:ascii="Arial" w:hAnsi="Arial" w:cs="Arial"/>
          <w:b/>
          <w:color w:val="auto"/>
          <w:shd w:val="clear" w:color="auto" w:fill="auto"/>
        </w:rPr>
      </w:pPr>
      <w:r w:rsidRPr="00987ADA">
        <w:rPr>
          <w:rFonts w:ascii="Arial" w:hAnsi="Arial" w:cs="Arial"/>
          <w:b/>
        </w:rPr>
        <w:t>SPONSOR</w:t>
      </w:r>
      <w:r w:rsidR="00D140BB">
        <w:rPr>
          <w:rFonts w:ascii="Arial" w:hAnsi="Arial" w:cs="Arial"/>
          <w:b/>
        </w:rPr>
        <w:t>S</w:t>
      </w:r>
      <w:r w:rsidRPr="00987ADA">
        <w:rPr>
          <w:rFonts w:ascii="Arial" w:hAnsi="Arial" w:cs="Arial"/>
          <w:b/>
        </w:rPr>
        <w:t xml:space="preserve">:  </w:t>
      </w:r>
      <w:r w:rsidRPr="00987ADA" w:rsidR="00782C7A">
        <w:rPr>
          <w:rFonts w:ascii="Arial" w:hAnsi="Arial" w:cs="Arial"/>
          <w:b/>
        </w:rPr>
        <w:t>M.</w:t>
      </w:r>
      <w:r w:rsidR="00C005C4">
        <w:rPr>
          <w:rFonts w:ascii="Arial" w:hAnsi="Arial" w:cs="Arial"/>
          <w:b/>
        </w:rPr>
        <w:t xml:space="preserve"> </w:t>
      </w:r>
      <w:r w:rsidRPr="00987ADA" w:rsidR="00782C7A">
        <w:rPr>
          <w:rFonts w:ascii="Arial" w:hAnsi="Arial" w:cs="Arial"/>
          <w:b/>
        </w:rPr>
        <w:t>G. GRABLE</w:t>
      </w:r>
      <w:r w:rsidR="00D140BB">
        <w:rPr>
          <w:rFonts w:ascii="Arial" w:hAnsi="Arial" w:cs="Arial"/>
          <w:b/>
        </w:rPr>
        <w:t xml:space="preserve"> &amp; W. A. LEDBETTER</w:t>
      </w:r>
    </w:p>
    <w:p w:rsidR="00FE0130" w:rsidRPr="00987ADA" w:rsidP="00987ADA" w14:paraId="54424EC8" w14:textId="77777777">
      <w:pPr>
        <w:jc w:val="center"/>
        <w:rPr>
          <w:rFonts w:ascii="Arial" w:hAnsi="Arial" w:cs="Arial"/>
          <w:b/>
          <w:color w:val="auto"/>
          <w:shd w:val="clear" w:color="auto" w:fill="auto"/>
        </w:rPr>
      </w:pPr>
    </w:p>
    <w:p w:rsidR="008F3EC9" w:rsidRPr="00987ADA" w:rsidP="00690019" w14:paraId="0ED527C0" w14:textId="77777777">
      <w:pPr>
        <w:keepNext/>
        <w:jc w:val="center"/>
        <w:outlineLvl w:val="0"/>
        <w:rPr>
          <w:rFonts w:ascii="Arial" w:hAnsi="Arial" w:cs="Arial"/>
          <w:snapToGrid/>
          <w:color w:val="auto"/>
          <w:shd w:val="clear" w:color="auto" w:fill="auto"/>
        </w:rPr>
      </w:pPr>
    </w:p>
    <w:p w:rsidR="008F3EC9" w:rsidRPr="00690019" w14:paraId="2262A31B" w14:textId="4BFD4819">
      <w:pPr>
        <w:keepNext/>
        <w:ind w:right="432" w:firstLine="720"/>
        <w:jc w:val="both"/>
        <w:outlineLvl w:val="0"/>
        <w:rPr>
          <w:rFonts w:ascii="Arial" w:hAnsi="Arial" w:cs="Arial"/>
          <w:color w:val="auto"/>
          <w:shd w:val="clear" w:color="auto" w:fill="auto"/>
        </w:rPr>
      </w:pPr>
      <w:bookmarkStart w:id="0" w:name="_GoBack"/>
      <w:bookmarkEnd w:id="0"/>
      <w:r w:rsidRPr="00987ADA">
        <w:rPr>
          <w:rFonts w:ascii="Arial" w:hAnsi="Arial" w:cs="Arial"/>
        </w:rPr>
        <w:t xml:space="preserve">The following entities were affiliated with Oncor </w:t>
      </w:r>
      <w:r w:rsidRPr="00987ADA" w:rsidR="00815F90">
        <w:rPr>
          <w:rFonts w:ascii="Arial" w:hAnsi="Arial" w:cs="Arial"/>
        </w:rPr>
        <w:t xml:space="preserve">Electric Delivery Company LLC (“Oncor” or “Company”) </w:t>
      </w:r>
      <w:r w:rsidRPr="00987ADA">
        <w:rPr>
          <w:rFonts w:ascii="Arial" w:hAnsi="Arial" w:cs="Arial"/>
        </w:rPr>
        <w:t xml:space="preserve">during the </w:t>
      </w:r>
      <w:r w:rsidR="00C005C4">
        <w:rPr>
          <w:rFonts w:ascii="Arial" w:hAnsi="Arial" w:cs="Arial"/>
        </w:rPr>
        <w:t>t</w:t>
      </w:r>
      <w:r w:rsidRPr="00987ADA">
        <w:rPr>
          <w:rFonts w:ascii="Arial" w:hAnsi="Arial" w:cs="Arial"/>
        </w:rPr>
        <w:t xml:space="preserve">est </w:t>
      </w:r>
      <w:r w:rsidR="00C005C4">
        <w:rPr>
          <w:rFonts w:ascii="Arial" w:hAnsi="Arial" w:cs="Arial"/>
        </w:rPr>
        <w:t>y</w:t>
      </w:r>
      <w:r w:rsidRPr="00987ADA">
        <w:rPr>
          <w:rFonts w:ascii="Arial" w:hAnsi="Arial" w:cs="Arial"/>
        </w:rPr>
        <w:t xml:space="preserve">ear </w:t>
      </w:r>
      <w:r w:rsidRPr="00987ADA" w:rsidR="00355D21">
        <w:rPr>
          <w:rFonts w:ascii="Arial" w:hAnsi="Arial" w:cs="Arial"/>
        </w:rPr>
        <w:t>ended December 31, 20</w:t>
      </w:r>
      <w:r w:rsidRPr="00987ADA" w:rsidR="00782C7A">
        <w:rPr>
          <w:rFonts w:ascii="Arial" w:hAnsi="Arial" w:cs="Arial"/>
        </w:rPr>
        <w:t>2</w:t>
      </w:r>
      <w:r w:rsidR="007C186F">
        <w:rPr>
          <w:rFonts w:ascii="Arial" w:hAnsi="Arial" w:cs="Arial"/>
        </w:rPr>
        <w:t>1</w:t>
      </w:r>
      <w:r w:rsidR="00C005C4">
        <w:rPr>
          <w:rFonts w:ascii="Arial" w:hAnsi="Arial" w:cs="Arial"/>
        </w:rPr>
        <w:t xml:space="preserve"> (“Test Year”)</w:t>
      </w:r>
      <w:r w:rsidRPr="00987ADA" w:rsidR="00355D21">
        <w:rPr>
          <w:rFonts w:ascii="Arial" w:hAnsi="Arial" w:cs="Arial"/>
        </w:rPr>
        <w:t xml:space="preserve">, </w:t>
      </w:r>
      <w:r w:rsidRPr="00987ADA">
        <w:rPr>
          <w:rFonts w:ascii="Arial" w:hAnsi="Arial" w:cs="Arial"/>
        </w:rPr>
        <w:t xml:space="preserve">and provided services to </w:t>
      </w:r>
      <w:r w:rsidR="000C4FB9">
        <w:rPr>
          <w:rFonts w:ascii="Arial" w:hAnsi="Arial" w:cs="Arial"/>
        </w:rPr>
        <w:t xml:space="preserve">or received contributions from </w:t>
      </w:r>
      <w:r w:rsidRPr="00987ADA">
        <w:rPr>
          <w:rFonts w:ascii="Arial" w:hAnsi="Arial" w:cs="Arial"/>
        </w:rPr>
        <w:t xml:space="preserve">the Company: </w:t>
      </w:r>
      <w:r w:rsidRPr="00987ADA" w:rsidR="00782C7A">
        <w:rPr>
          <w:rFonts w:ascii="Arial" w:hAnsi="Arial" w:cs="Arial"/>
        </w:rPr>
        <w:t>Sempra Energy</w:t>
      </w:r>
      <w:r w:rsidRPr="00987ADA" w:rsidR="00C96CB0">
        <w:rPr>
          <w:rFonts w:ascii="Arial" w:hAnsi="Arial" w:cs="Arial"/>
        </w:rPr>
        <w:t xml:space="preserve"> (“Sempra”)</w:t>
      </w:r>
      <w:r w:rsidRPr="00772404" w:rsidR="00782C7A">
        <w:rPr>
          <w:rFonts w:ascii="Arial" w:hAnsi="Arial" w:cs="Arial"/>
        </w:rPr>
        <w:t xml:space="preserve">, Ultimate </w:t>
      </w:r>
      <w:r w:rsidRPr="00772404" w:rsidR="00824FE7">
        <w:rPr>
          <w:rFonts w:ascii="Arial" w:hAnsi="Arial" w:cs="Arial"/>
        </w:rPr>
        <w:t>Kronos Group Inc</w:t>
      </w:r>
      <w:r w:rsidR="00C005C4">
        <w:rPr>
          <w:rFonts w:ascii="Arial" w:hAnsi="Arial" w:cs="Arial"/>
        </w:rPr>
        <w:t>.</w:t>
      </w:r>
      <w:r w:rsidRPr="00772404" w:rsidR="00824FE7">
        <w:rPr>
          <w:rFonts w:ascii="Arial" w:hAnsi="Arial" w:cs="Arial"/>
        </w:rPr>
        <w:t xml:space="preserve"> (“Ultimate”)</w:t>
      </w:r>
      <w:r w:rsidRPr="00690019" w:rsidR="00782C7A">
        <w:rPr>
          <w:rFonts w:ascii="Arial" w:hAnsi="Arial" w:cs="Arial"/>
        </w:rPr>
        <w:t>, Veritas Technologies LLC</w:t>
      </w:r>
      <w:r w:rsidRPr="00690019" w:rsidR="00824FE7">
        <w:rPr>
          <w:rFonts w:ascii="Arial" w:hAnsi="Arial" w:cs="Arial"/>
        </w:rPr>
        <w:t xml:space="preserve"> (“Veritas”)</w:t>
      </w:r>
      <w:r w:rsidRPr="00690019" w:rsidR="00782C7A">
        <w:rPr>
          <w:rFonts w:ascii="Arial" w:hAnsi="Arial" w:cs="Arial"/>
        </w:rPr>
        <w:t xml:space="preserve">, </w:t>
      </w:r>
      <w:r w:rsidRPr="00690019" w:rsidR="00782C7A">
        <w:rPr>
          <w:rFonts w:ascii="Arial" w:hAnsi="Arial" w:cs="Arial"/>
        </w:rPr>
        <w:t>Sharyland</w:t>
      </w:r>
      <w:r w:rsidRPr="00690019" w:rsidR="00782C7A">
        <w:rPr>
          <w:rFonts w:ascii="Arial" w:hAnsi="Arial" w:cs="Arial"/>
        </w:rPr>
        <w:t xml:space="preserve"> Utilities</w:t>
      </w:r>
      <w:r w:rsidR="00C005C4">
        <w:rPr>
          <w:rFonts w:ascii="Arial" w:hAnsi="Arial" w:cs="Arial"/>
        </w:rPr>
        <w:t>, L.L.C.</w:t>
      </w:r>
      <w:r w:rsidRPr="00690019" w:rsidR="00824FE7">
        <w:rPr>
          <w:rFonts w:ascii="Arial" w:hAnsi="Arial" w:cs="Arial"/>
        </w:rPr>
        <w:t xml:space="preserve"> (“</w:t>
      </w:r>
      <w:r w:rsidRPr="00690019" w:rsidR="00824FE7">
        <w:rPr>
          <w:rFonts w:ascii="Arial" w:hAnsi="Arial" w:cs="Arial"/>
        </w:rPr>
        <w:t>Sharyland</w:t>
      </w:r>
      <w:r w:rsidRPr="00690019" w:rsidR="00824FE7">
        <w:rPr>
          <w:rFonts w:ascii="Arial" w:hAnsi="Arial" w:cs="Arial"/>
        </w:rPr>
        <w:t>”)</w:t>
      </w:r>
      <w:r w:rsidRPr="00690019" w:rsidR="00782C7A">
        <w:rPr>
          <w:rFonts w:ascii="Arial" w:hAnsi="Arial" w:cs="Arial"/>
        </w:rPr>
        <w:t>, Oncor Electric Delivery Co</w:t>
      </w:r>
      <w:r w:rsidR="00C005C4">
        <w:rPr>
          <w:rFonts w:ascii="Arial" w:hAnsi="Arial" w:cs="Arial"/>
        </w:rPr>
        <w:t>mpany</w:t>
      </w:r>
      <w:r w:rsidRPr="00690019" w:rsidR="00782C7A">
        <w:rPr>
          <w:rFonts w:ascii="Arial" w:hAnsi="Arial" w:cs="Arial"/>
        </w:rPr>
        <w:t xml:space="preserve"> NTU</w:t>
      </w:r>
      <w:r w:rsidRPr="00690019" w:rsidR="00824FE7">
        <w:rPr>
          <w:rFonts w:ascii="Arial" w:hAnsi="Arial" w:cs="Arial"/>
        </w:rPr>
        <w:t xml:space="preserve"> </w:t>
      </w:r>
      <w:r w:rsidR="00C005C4">
        <w:rPr>
          <w:rFonts w:ascii="Arial" w:hAnsi="Arial" w:cs="Arial"/>
        </w:rPr>
        <w:t xml:space="preserve">LLC </w:t>
      </w:r>
      <w:r w:rsidRPr="00690019" w:rsidR="00824FE7">
        <w:rPr>
          <w:rFonts w:ascii="Arial" w:hAnsi="Arial" w:cs="Arial"/>
        </w:rPr>
        <w:t>(“</w:t>
      </w:r>
      <w:r w:rsidRPr="00690019" w:rsidR="00A2719F">
        <w:rPr>
          <w:rFonts w:ascii="Arial" w:hAnsi="Arial" w:cs="Arial"/>
        </w:rPr>
        <w:t xml:space="preserve">Oncor </w:t>
      </w:r>
      <w:r w:rsidRPr="00690019" w:rsidR="00824FE7">
        <w:rPr>
          <w:rFonts w:ascii="Arial" w:hAnsi="Arial" w:cs="Arial"/>
        </w:rPr>
        <w:t>NTU”)</w:t>
      </w:r>
      <w:r w:rsidR="00620799">
        <w:rPr>
          <w:rFonts w:ascii="Arial" w:hAnsi="Arial" w:cs="Arial"/>
        </w:rPr>
        <w:t>, and Oncor Cares Foundation (“</w:t>
      </w:r>
      <w:r w:rsidR="005D51A4">
        <w:rPr>
          <w:rFonts w:ascii="Arial" w:hAnsi="Arial" w:cs="Arial"/>
        </w:rPr>
        <w:t>Foundation</w:t>
      </w:r>
      <w:r w:rsidR="00620799">
        <w:rPr>
          <w:rFonts w:ascii="Arial" w:hAnsi="Arial" w:cs="Arial"/>
        </w:rPr>
        <w:t>”)</w:t>
      </w:r>
      <w:r w:rsidRPr="00690019" w:rsidR="00782C7A">
        <w:rPr>
          <w:rFonts w:ascii="Arial" w:hAnsi="Arial" w:cs="Arial"/>
        </w:rPr>
        <w:t>.</w:t>
      </w:r>
      <w:r w:rsidRPr="00690019" w:rsidR="002C0A78">
        <w:rPr>
          <w:rFonts w:ascii="Arial" w:hAnsi="Arial" w:cs="Arial"/>
        </w:rPr>
        <w:t xml:space="preserve"> The discussion below describes the controls </w:t>
      </w:r>
      <w:r w:rsidR="00C005C4">
        <w:rPr>
          <w:rFonts w:ascii="Arial" w:hAnsi="Arial" w:cs="Arial"/>
        </w:rPr>
        <w:t>that</w:t>
      </w:r>
      <w:r w:rsidRPr="00690019" w:rsidR="00C005C4">
        <w:rPr>
          <w:rFonts w:ascii="Arial" w:hAnsi="Arial" w:cs="Arial"/>
        </w:rPr>
        <w:t xml:space="preserve"> </w:t>
      </w:r>
      <w:r w:rsidRPr="00690019" w:rsidR="002C0A78">
        <w:rPr>
          <w:rFonts w:ascii="Arial" w:hAnsi="Arial" w:cs="Arial"/>
        </w:rPr>
        <w:t>were in place when an affiliate relationship existed during the Test Year.</w:t>
      </w:r>
    </w:p>
    <w:p w:rsidR="008F3EC9" w:rsidRPr="00690019" w:rsidP="00690019" w14:paraId="3D17F8AF" w14:textId="77777777">
      <w:pPr>
        <w:keepNext/>
        <w:ind w:right="432"/>
        <w:jc w:val="center"/>
        <w:outlineLvl w:val="0"/>
        <w:rPr>
          <w:rFonts w:ascii="Arial" w:hAnsi="Arial" w:cs="Arial"/>
          <w:color w:val="auto"/>
          <w:shd w:val="clear" w:color="auto" w:fill="auto"/>
        </w:rPr>
      </w:pPr>
    </w:p>
    <w:p w:rsidR="000E18C3" w:rsidRPr="00690019" w14:paraId="3EB6AB1B" w14:textId="77777777">
      <w:pPr>
        <w:ind w:right="432"/>
        <w:jc w:val="center"/>
        <w:rPr>
          <w:rFonts w:ascii="Arial" w:hAnsi="Arial" w:cs="Arial"/>
          <w:color w:val="auto"/>
          <w:shd w:val="clear" w:color="auto" w:fill="auto"/>
        </w:rPr>
      </w:pPr>
    </w:p>
    <w:p w:rsidR="000E18C3" w:rsidRPr="00690019" w14:paraId="00CEEF99" w14:textId="345B30BB">
      <w:pPr>
        <w:pStyle w:val="Heading1"/>
        <w:rPr>
          <w:rFonts w:cs="Arial"/>
          <w:color w:val="auto"/>
          <w:shd w:val="clear" w:color="auto" w:fill="auto"/>
        </w:rPr>
      </w:pPr>
      <w:r w:rsidRPr="00690019">
        <w:rPr>
          <w:rFonts w:cs="Arial"/>
        </w:rPr>
        <w:t>SEMPRA</w:t>
      </w:r>
      <w:r w:rsidRPr="00690019" w:rsidR="00A634C9">
        <w:rPr>
          <w:rFonts w:cs="Arial"/>
        </w:rPr>
        <w:t xml:space="preserve"> ENERGY</w:t>
      </w:r>
    </w:p>
    <w:p w:rsidR="00605738" w:rsidRPr="00690019" w:rsidP="00690019" w14:paraId="3E3EE984" w14:textId="77777777">
      <w:pPr>
        <w:jc w:val="center"/>
        <w:rPr>
          <w:rFonts w:ascii="Arial" w:hAnsi="Arial" w:cs="Arial"/>
          <w:color w:val="auto"/>
          <w:shd w:val="clear" w:color="auto" w:fill="auto"/>
        </w:rPr>
      </w:pPr>
    </w:p>
    <w:p w:rsidR="00C83B82" w:rsidRPr="00C83B82" w:rsidP="00E57C2F" w14:paraId="7DC3FD86" w14:textId="066422EF">
      <w:pPr>
        <w:widowControl/>
        <w:ind w:right="342" w:firstLine="720"/>
        <w:rPr>
          <w:rFonts w:ascii="Calibri" w:hAnsi="Calibri" w:cs="Calibri"/>
          <w:snapToGrid/>
          <w:color w:val="000000"/>
          <w:sz w:val="22"/>
          <w:szCs w:val="22"/>
          <w:shd w:val="clear" w:color="auto" w:fill="auto"/>
        </w:rPr>
      </w:pPr>
      <w:r w:rsidRPr="007C186F">
        <w:rPr>
          <w:rFonts w:ascii="Arial" w:hAnsi="Arial" w:cs="Arial"/>
          <w:snapToGrid/>
          <w:color w:val="000000"/>
          <w:szCs w:val="24"/>
        </w:rPr>
        <w:t>Sempra employs various means to ensure appropriate billing of the tax services it provides to Oncor.  As part of the annual budget process</w:t>
      </w:r>
      <w:r w:rsidR="00E57C2F">
        <w:rPr>
          <w:rFonts w:ascii="Arial" w:hAnsi="Arial" w:cs="Arial"/>
          <w:snapToGrid/>
          <w:color w:val="000000"/>
          <w:szCs w:val="24"/>
        </w:rPr>
        <w:t>,</w:t>
      </w:r>
      <w:r w:rsidRPr="007C186F">
        <w:rPr>
          <w:rFonts w:ascii="Arial" w:hAnsi="Arial" w:cs="Arial"/>
          <w:snapToGrid/>
          <w:color w:val="000000"/>
          <w:szCs w:val="24"/>
        </w:rPr>
        <w:t xml:space="preserve"> Sempra reviews the </w:t>
      </w:r>
      <w:r w:rsidR="00E57C2F">
        <w:rPr>
          <w:rFonts w:ascii="Arial" w:hAnsi="Arial" w:cs="Arial"/>
          <w:snapToGrid/>
          <w:color w:val="000000"/>
          <w:szCs w:val="24"/>
        </w:rPr>
        <w:t>Statements of Work (“</w:t>
      </w:r>
      <w:r w:rsidRPr="007C186F">
        <w:rPr>
          <w:rFonts w:ascii="Arial" w:hAnsi="Arial" w:cs="Arial"/>
          <w:snapToGrid/>
          <w:color w:val="000000"/>
          <w:szCs w:val="24"/>
        </w:rPr>
        <w:t>SOWs</w:t>
      </w:r>
      <w:r w:rsidR="00E57C2F">
        <w:rPr>
          <w:rFonts w:ascii="Arial" w:hAnsi="Arial" w:cs="Arial"/>
          <w:snapToGrid/>
          <w:color w:val="000000"/>
          <w:szCs w:val="24"/>
        </w:rPr>
        <w:t>”)</w:t>
      </w:r>
      <w:r w:rsidRPr="007C186F">
        <w:rPr>
          <w:rFonts w:ascii="Arial" w:hAnsi="Arial" w:cs="Arial"/>
          <w:snapToGrid/>
          <w:color w:val="000000"/>
          <w:szCs w:val="24"/>
        </w:rPr>
        <w:t xml:space="preserve"> with Oncor for tax services to ensure the fees continue to be comparable to or below fees from outside tax service providers.  Sempra also compares the total fees charged under the SOWs against estimated time spent by Sempra’s tax department in providing tax services to Oncor to ensure the tax fees under the SOWs are appropriate. </w:t>
      </w:r>
      <w:r w:rsidRPr="008D3762">
        <w:rPr>
          <w:rFonts w:ascii="Arial" w:hAnsi="Arial" w:cs="Arial"/>
          <w:snapToGrid/>
          <w:color w:val="000000"/>
          <w:szCs w:val="24"/>
        </w:rPr>
        <w:t>Also, as part of the tax budget process</w:t>
      </w:r>
      <w:r w:rsidRPr="008D3762" w:rsidR="00E57C2F">
        <w:rPr>
          <w:rFonts w:ascii="Arial" w:hAnsi="Arial" w:cs="Arial"/>
          <w:snapToGrid/>
          <w:color w:val="000000"/>
          <w:szCs w:val="24"/>
        </w:rPr>
        <w:t>,</w:t>
      </w:r>
      <w:r w:rsidRPr="008D3762">
        <w:rPr>
          <w:rFonts w:ascii="Arial" w:hAnsi="Arial" w:cs="Arial"/>
          <w:snapToGrid/>
          <w:color w:val="000000"/>
          <w:szCs w:val="24"/>
        </w:rPr>
        <w:t xml:space="preserve"> Sempra reviews tax costs related to systems, including </w:t>
      </w:r>
      <w:r w:rsidRPr="008D3762">
        <w:rPr>
          <w:rFonts w:ascii="Arial" w:hAnsi="Arial" w:cs="Arial"/>
          <w:snapToGrid/>
          <w:color w:val="000000"/>
          <w:szCs w:val="24"/>
        </w:rPr>
        <w:t>Corptax</w:t>
      </w:r>
      <w:r w:rsidRPr="008D3762">
        <w:rPr>
          <w:rFonts w:ascii="Arial" w:hAnsi="Arial" w:cs="Arial"/>
          <w:snapToGrid/>
          <w:color w:val="000000"/>
          <w:szCs w:val="24"/>
        </w:rPr>
        <w:t xml:space="preserve">, to ensure Sempra and its affiliates are being charged an appropriate amount under the contract.  A portion of the total </w:t>
      </w:r>
      <w:r w:rsidRPr="008D3762">
        <w:rPr>
          <w:rFonts w:ascii="Arial" w:hAnsi="Arial" w:cs="Arial"/>
          <w:snapToGrid/>
          <w:color w:val="000000"/>
          <w:szCs w:val="24"/>
        </w:rPr>
        <w:t>Corptax</w:t>
      </w:r>
      <w:r w:rsidRPr="008D3762">
        <w:rPr>
          <w:rFonts w:ascii="Arial" w:hAnsi="Arial" w:cs="Arial"/>
          <w:snapToGrid/>
          <w:color w:val="000000"/>
          <w:szCs w:val="24"/>
        </w:rPr>
        <w:t xml:space="preserve"> fee is then charged to Oncor based on an estimate of total usage</w:t>
      </w:r>
      <w:r w:rsidRPr="008D3762">
        <w:rPr>
          <w:rFonts w:ascii="Calibri" w:hAnsi="Calibri" w:cs="Calibri"/>
          <w:i/>
          <w:iCs/>
          <w:snapToGrid/>
          <w:color w:val="000000"/>
          <w:sz w:val="22"/>
          <w:szCs w:val="22"/>
        </w:rPr>
        <w:t>.</w:t>
      </w:r>
    </w:p>
    <w:p w:rsidR="00A4667C" w:rsidRPr="007C186F" w:rsidP="007C186F" w14:paraId="5A03E12B" w14:textId="319615CC">
      <w:pPr>
        <w:widowControl/>
        <w:rPr>
          <w:rFonts w:ascii="Calibri" w:hAnsi="Calibri" w:cs="Calibri"/>
          <w:snapToGrid/>
          <w:color w:val="1F497D"/>
          <w:sz w:val="22"/>
          <w:szCs w:val="22"/>
          <w:shd w:val="clear" w:color="auto" w:fill="auto"/>
        </w:rPr>
      </w:pPr>
      <w:r w:rsidRPr="00C83B82">
        <w:rPr>
          <w:rFonts w:ascii="Calibri" w:hAnsi="Calibri" w:cs="Calibri"/>
          <w:snapToGrid/>
          <w:color w:val="1F497D"/>
          <w:sz w:val="22"/>
          <w:szCs w:val="22"/>
        </w:rPr>
        <w:t> </w:t>
      </w:r>
    </w:p>
    <w:p w:rsidR="00A4667C" w:rsidRPr="00772404" w:rsidP="00690019" w14:paraId="61E21D23" w14:textId="77777777">
      <w:pPr>
        <w:ind w:right="432"/>
        <w:jc w:val="center"/>
        <w:rPr>
          <w:rFonts w:cs="Arial"/>
          <w:color w:val="1F497D"/>
          <w:shd w:val="clear" w:color="auto" w:fill="auto"/>
        </w:rPr>
      </w:pPr>
    </w:p>
    <w:p w:rsidR="00C4181C" w14:paraId="651A988E" w14:textId="6135F6FF">
      <w:pPr>
        <w:pStyle w:val="Heading1"/>
        <w:rPr>
          <w:rFonts w:cs="Arial"/>
          <w:color w:val="auto"/>
          <w:shd w:val="clear" w:color="auto" w:fill="auto"/>
        </w:rPr>
      </w:pPr>
      <w:r w:rsidRPr="00772404">
        <w:rPr>
          <w:rFonts w:cs="Arial"/>
        </w:rPr>
        <w:t xml:space="preserve">ULTIMATE </w:t>
      </w:r>
      <w:r w:rsidR="00C005C4">
        <w:rPr>
          <w:rFonts w:cs="Arial"/>
        </w:rPr>
        <w:t>KRONOS</w:t>
      </w:r>
      <w:r w:rsidRPr="00772404" w:rsidR="00C005C4">
        <w:rPr>
          <w:rFonts w:cs="Arial"/>
        </w:rPr>
        <w:t xml:space="preserve"> </w:t>
      </w:r>
      <w:r w:rsidRPr="00772404">
        <w:rPr>
          <w:rFonts w:cs="Arial"/>
        </w:rPr>
        <w:t>GROUP</w:t>
      </w:r>
      <w:r w:rsidR="00C005C4">
        <w:rPr>
          <w:rFonts w:cs="Arial"/>
        </w:rPr>
        <w:t xml:space="preserve"> INC.</w:t>
      </w:r>
    </w:p>
    <w:p w:rsidR="00690019" w:rsidRPr="00690019" w:rsidP="00690019" w14:paraId="7BE0A782" w14:textId="77777777">
      <w:pPr>
        <w:rPr>
          <w:color w:val="auto"/>
          <w:shd w:val="clear" w:color="auto" w:fill="auto"/>
        </w:rPr>
      </w:pPr>
    </w:p>
    <w:p w:rsidR="009E7697" w:rsidRPr="00690019" w:rsidP="00690019" w14:paraId="17BBE534" w14:textId="6A171B9C">
      <w:pPr>
        <w:ind w:right="432" w:firstLine="720"/>
        <w:jc w:val="both"/>
        <w:rPr>
          <w:rFonts w:ascii="Arial" w:hAnsi="Arial" w:cs="Arial"/>
          <w:color w:val="auto"/>
          <w:shd w:val="clear" w:color="auto" w:fill="auto"/>
        </w:rPr>
      </w:pPr>
      <w:r w:rsidRPr="00987ADA">
        <w:rPr>
          <w:rFonts w:ascii="Arial" w:hAnsi="Arial" w:cs="Arial"/>
        </w:rPr>
        <w:t xml:space="preserve">The master agreement for human resources software support between Oncor and Ultimate was negotiated at arm’s length.  </w:t>
      </w:r>
      <w:r w:rsidRPr="00987ADA">
        <w:rPr>
          <w:rFonts w:ascii="Arial" w:hAnsi="Arial" w:cs="Arial"/>
        </w:rPr>
        <w:t xml:space="preserve">Oncor </w:t>
      </w:r>
      <w:r w:rsidRPr="00987ADA" w:rsidR="0011329C">
        <w:rPr>
          <w:rFonts w:ascii="Arial" w:hAnsi="Arial" w:cs="Arial"/>
        </w:rPr>
        <w:t>regularly</w:t>
      </w:r>
      <w:r w:rsidRPr="00987ADA">
        <w:rPr>
          <w:rFonts w:ascii="Arial" w:hAnsi="Arial" w:cs="Arial"/>
        </w:rPr>
        <w:t xml:space="preserve"> review</w:t>
      </w:r>
      <w:r w:rsidRPr="00987ADA" w:rsidR="0011329C">
        <w:rPr>
          <w:rFonts w:ascii="Arial" w:hAnsi="Arial" w:cs="Arial"/>
        </w:rPr>
        <w:t>s the charges from Ultimate</w:t>
      </w:r>
      <w:r w:rsidRPr="00987ADA">
        <w:rPr>
          <w:rFonts w:ascii="Arial" w:hAnsi="Arial" w:cs="Arial"/>
        </w:rPr>
        <w:t xml:space="preserve"> to ensure that the billings from Ultimate are compliant with the terms and conditions</w:t>
      </w:r>
      <w:r w:rsidRPr="00987ADA" w:rsidR="0011329C">
        <w:rPr>
          <w:rFonts w:ascii="Arial" w:hAnsi="Arial" w:cs="Arial"/>
        </w:rPr>
        <w:t xml:space="preserve"> </w:t>
      </w:r>
      <w:r w:rsidRPr="00987ADA">
        <w:rPr>
          <w:rFonts w:ascii="Arial" w:hAnsi="Arial" w:cs="Arial"/>
        </w:rPr>
        <w:t xml:space="preserve">of this master agreement.  Please see the direct testimonies of </w:t>
      </w:r>
      <w:r w:rsidR="00317759">
        <w:rPr>
          <w:rFonts w:ascii="Arial" w:hAnsi="Arial" w:cs="Arial"/>
        </w:rPr>
        <w:t xml:space="preserve">Company witnesses </w:t>
      </w:r>
      <w:r w:rsidRPr="00987ADA">
        <w:rPr>
          <w:rFonts w:ascii="Arial" w:hAnsi="Arial" w:cs="Arial"/>
        </w:rPr>
        <w:t xml:space="preserve">Messrs. Joel </w:t>
      </w:r>
      <w:r w:rsidR="00317759">
        <w:rPr>
          <w:rFonts w:ascii="Arial" w:hAnsi="Arial" w:cs="Arial"/>
        </w:rPr>
        <w:t xml:space="preserve">S. </w:t>
      </w:r>
      <w:r w:rsidRPr="00987ADA">
        <w:rPr>
          <w:rFonts w:ascii="Arial" w:hAnsi="Arial" w:cs="Arial"/>
        </w:rPr>
        <w:t xml:space="preserve">Austin and Matthew D. Smith for a discussion of the process used by Oncor to select </w:t>
      </w:r>
      <w:r w:rsidR="00620799">
        <w:rPr>
          <w:rFonts w:ascii="Arial" w:hAnsi="Arial" w:cs="Arial"/>
        </w:rPr>
        <w:t xml:space="preserve">and administer the contract with </w:t>
      </w:r>
      <w:r w:rsidRPr="00987ADA">
        <w:rPr>
          <w:rFonts w:ascii="Arial" w:hAnsi="Arial" w:cs="Arial"/>
        </w:rPr>
        <w:t xml:space="preserve">Ultimate as </w:t>
      </w:r>
      <w:r w:rsidRPr="00987ADA">
        <w:rPr>
          <w:rFonts w:ascii="Arial" w:hAnsi="Arial" w:cs="Arial"/>
        </w:rPr>
        <w:t>Oncor’s</w:t>
      </w:r>
      <w:r w:rsidRPr="00987ADA">
        <w:rPr>
          <w:rFonts w:ascii="Arial" w:hAnsi="Arial" w:cs="Arial"/>
        </w:rPr>
        <w:t xml:space="preserve"> provider for these services.</w:t>
      </w:r>
    </w:p>
    <w:p w:rsidR="00C4181C" w14:paraId="765F7B4A" w14:textId="602DCA64">
      <w:pPr>
        <w:ind w:right="432"/>
        <w:jc w:val="both"/>
        <w:rPr>
          <w:rFonts w:ascii="Arial" w:hAnsi="Arial" w:cs="Arial"/>
          <w:snapToGrid/>
          <w:color w:val="auto"/>
          <w:shd w:val="clear" w:color="auto" w:fill="auto"/>
        </w:rPr>
      </w:pPr>
    </w:p>
    <w:p w:rsidR="00A4667C" w:rsidRPr="00987ADA" w14:paraId="3A84C4D9" w14:textId="77777777">
      <w:pPr>
        <w:ind w:right="432"/>
        <w:jc w:val="both"/>
        <w:rPr>
          <w:rFonts w:ascii="Arial" w:hAnsi="Arial" w:cs="Arial"/>
          <w:snapToGrid/>
          <w:color w:val="auto"/>
          <w:shd w:val="clear" w:color="auto" w:fill="auto"/>
        </w:rPr>
      </w:pPr>
    </w:p>
    <w:p w:rsidR="00593933" w:rsidRPr="00772404" w14:paraId="4809B693" w14:textId="77777777">
      <w:pPr>
        <w:pStyle w:val="Heading1"/>
        <w:rPr>
          <w:rFonts w:cs="Arial"/>
          <w:color w:val="auto"/>
          <w:shd w:val="clear" w:color="auto" w:fill="auto"/>
        </w:rPr>
      </w:pPr>
      <w:r w:rsidRPr="00772404">
        <w:rPr>
          <w:rFonts w:cs="Arial"/>
        </w:rPr>
        <w:t>VERITAS TECHNOLOGIES LLC</w:t>
      </w:r>
    </w:p>
    <w:p w:rsidR="004F15E8" w:rsidRPr="00987ADA" w:rsidP="00690019" w14:paraId="13D86B07" w14:textId="77777777">
      <w:pPr>
        <w:jc w:val="center"/>
        <w:rPr>
          <w:rFonts w:ascii="Arial" w:hAnsi="Arial" w:cs="Arial"/>
          <w:color w:val="auto"/>
          <w:shd w:val="clear" w:color="auto" w:fill="auto"/>
        </w:rPr>
      </w:pPr>
    </w:p>
    <w:p w:rsidR="00593933" w:rsidRPr="00690019" w:rsidP="00690019" w14:paraId="37AE066F" w14:textId="481DE7CF">
      <w:pPr>
        <w:ind w:firstLine="720"/>
        <w:jc w:val="both"/>
        <w:rPr>
          <w:rFonts w:ascii="Arial" w:hAnsi="Arial" w:cs="Arial"/>
          <w:color w:val="auto"/>
          <w:shd w:val="clear" w:color="auto" w:fill="auto"/>
        </w:rPr>
      </w:pPr>
      <w:r w:rsidRPr="00987ADA">
        <w:rPr>
          <w:rFonts w:ascii="Arial" w:hAnsi="Arial" w:cs="Arial"/>
        </w:rPr>
        <w:t xml:space="preserve">The </w:t>
      </w:r>
      <w:r w:rsidRPr="00987ADA" w:rsidR="0011329C">
        <w:rPr>
          <w:rFonts w:ascii="Arial" w:hAnsi="Arial" w:cs="Arial"/>
        </w:rPr>
        <w:t xml:space="preserve">charges for </w:t>
      </w:r>
      <w:r w:rsidRPr="00987ADA">
        <w:rPr>
          <w:rFonts w:ascii="Arial" w:hAnsi="Arial" w:cs="Arial"/>
        </w:rPr>
        <w:t>data storage, data back-up, disaster recovery, and related services billed by Veritas to Oncor are based on a master license agreement and related addenda and statements of work, all of which were negotiated a</w:t>
      </w:r>
      <w:r w:rsidRPr="00987ADA" w:rsidR="0011329C">
        <w:rPr>
          <w:rFonts w:ascii="Arial" w:hAnsi="Arial" w:cs="Arial"/>
        </w:rPr>
        <w:t xml:space="preserve">t arm’s length.  Oncor regularly reviews the charges from Veritas to ensure that the billings from Veritas are in compliance with the terms and conditions of this master agreement and related addenda and statements of work.  Please see the </w:t>
      </w:r>
      <w:r w:rsidRPr="007C186F" w:rsidR="0011329C">
        <w:rPr>
          <w:rFonts w:ascii="Arial" w:hAnsi="Arial" w:cs="Arial"/>
        </w:rPr>
        <w:t xml:space="preserve">direct testimony </w:t>
      </w:r>
      <w:r w:rsidR="00620799">
        <w:rPr>
          <w:rFonts w:ascii="Arial" w:hAnsi="Arial" w:cs="Arial"/>
        </w:rPr>
        <w:t xml:space="preserve">of </w:t>
      </w:r>
      <w:r w:rsidR="00317759">
        <w:rPr>
          <w:rFonts w:ascii="Arial" w:hAnsi="Arial" w:cs="Arial"/>
        </w:rPr>
        <w:t xml:space="preserve">Company witness </w:t>
      </w:r>
      <w:r w:rsidR="00620799">
        <w:rPr>
          <w:rFonts w:ascii="Arial" w:hAnsi="Arial" w:cs="Arial"/>
        </w:rPr>
        <w:t xml:space="preserve">Ms. Malia A. Hodges </w:t>
      </w:r>
      <w:r w:rsidRPr="00987ADA" w:rsidR="0011329C">
        <w:rPr>
          <w:rFonts w:ascii="Arial" w:hAnsi="Arial" w:cs="Arial"/>
        </w:rPr>
        <w:t xml:space="preserve">for a discussion </w:t>
      </w:r>
      <w:r w:rsidR="00D536A0">
        <w:rPr>
          <w:rFonts w:ascii="Arial" w:hAnsi="Arial" w:cs="Arial"/>
        </w:rPr>
        <w:t xml:space="preserve">of </w:t>
      </w:r>
      <w:r w:rsidR="00620799">
        <w:rPr>
          <w:rFonts w:ascii="Arial" w:hAnsi="Arial" w:cs="Arial"/>
        </w:rPr>
        <w:t xml:space="preserve">the contractual relationship with Veritas and </w:t>
      </w:r>
      <w:r w:rsidRPr="00987ADA" w:rsidR="0011329C">
        <w:rPr>
          <w:rFonts w:ascii="Arial" w:hAnsi="Arial" w:cs="Arial"/>
        </w:rPr>
        <w:t>of the cost controls in place.</w:t>
      </w:r>
    </w:p>
    <w:p w:rsidR="00C4181C" w14:paraId="2A39B2C8" w14:textId="77777777">
      <w:pPr>
        <w:pStyle w:val="BodyText"/>
        <w:jc w:val="center"/>
        <w:rPr>
          <w:rFonts w:cs="Arial"/>
          <w:b/>
          <w:color w:val="auto"/>
          <w:u w:val="single"/>
          <w:shd w:val="clear" w:color="auto" w:fill="auto"/>
        </w:rPr>
      </w:pPr>
    </w:p>
    <w:p w:rsidR="00A4667C" w:rsidRPr="00772404" w14:paraId="65BC0DDE" w14:textId="77777777">
      <w:pPr>
        <w:pStyle w:val="BodyText"/>
        <w:jc w:val="center"/>
        <w:rPr>
          <w:rFonts w:cs="Arial"/>
          <w:b/>
          <w:color w:val="auto"/>
          <w:u w:val="single"/>
          <w:shd w:val="clear" w:color="auto" w:fill="auto"/>
        </w:rPr>
      </w:pPr>
    </w:p>
    <w:p w:rsidR="00593933" w:rsidRPr="00690019" w14:paraId="028C7010" w14:textId="4FA90769">
      <w:pPr>
        <w:pStyle w:val="Heading1"/>
        <w:rPr>
          <w:rFonts w:cs="Arial"/>
          <w:color w:val="auto"/>
          <w:shd w:val="clear" w:color="auto" w:fill="auto"/>
        </w:rPr>
      </w:pPr>
      <w:r w:rsidRPr="00690019">
        <w:rPr>
          <w:rFonts w:cs="Arial"/>
        </w:rPr>
        <w:t>SHARYLAND UTILITIES</w:t>
      </w:r>
      <w:r w:rsidR="00C005C4">
        <w:rPr>
          <w:rFonts w:cs="Arial"/>
        </w:rPr>
        <w:t>, L.L.C.</w:t>
      </w:r>
    </w:p>
    <w:p w:rsidR="00593933" w:rsidRPr="00690019" w:rsidP="00690019" w14:paraId="60B3BB46" w14:textId="7BD47457">
      <w:pPr>
        <w:jc w:val="center"/>
        <w:rPr>
          <w:rFonts w:ascii="Arial" w:hAnsi="Arial" w:cs="Arial"/>
          <w:color w:val="auto"/>
          <w:shd w:val="clear" w:color="auto" w:fill="auto"/>
        </w:rPr>
      </w:pPr>
    </w:p>
    <w:p w:rsidR="00A2719F" w:rsidRPr="00690019" w:rsidP="00690019" w14:paraId="43380B88" w14:textId="464E0D6F">
      <w:pPr>
        <w:ind w:firstLine="720"/>
        <w:jc w:val="both"/>
        <w:rPr>
          <w:rFonts w:ascii="Arial" w:hAnsi="Arial" w:cs="Arial"/>
          <w:color w:val="auto"/>
          <w:shd w:val="clear" w:color="auto" w:fill="auto"/>
        </w:rPr>
      </w:pPr>
      <w:r w:rsidRPr="00987ADA">
        <w:rPr>
          <w:rFonts w:ascii="Arial" w:hAnsi="Arial" w:cs="Arial"/>
        </w:rPr>
        <w:t xml:space="preserve">During the </w:t>
      </w:r>
      <w:r w:rsidR="00DB2AD7">
        <w:rPr>
          <w:rFonts w:ascii="Arial" w:hAnsi="Arial" w:cs="Arial"/>
        </w:rPr>
        <w:t>T</w:t>
      </w:r>
      <w:r w:rsidRPr="00987ADA">
        <w:rPr>
          <w:rFonts w:ascii="Arial" w:hAnsi="Arial" w:cs="Arial"/>
        </w:rPr>
        <w:t xml:space="preserve">est </w:t>
      </w:r>
      <w:r w:rsidR="00DB2AD7">
        <w:rPr>
          <w:rFonts w:ascii="Arial" w:hAnsi="Arial" w:cs="Arial"/>
        </w:rPr>
        <w:t>Y</w:t>
      </w:r>
      <w:r w:rsidRPr="00987ADA">
        <w:rPr>
          <w:rFonts w:ascii="Arial" w:hAnsi="Arial" w:cs="Arial"/>
        </w:rPr>
        <w:t xml:space="preserve">ear, </w:t>
      </w:r>
      <w:r w:rsidRPr="00987ADA">
        <w:rPr>
          <w:rFonts w:ascii="Arial" w:hAnsi="Arial" w:cs="Arial"/>
        </w:rPr>
        <w:t>Sharyland</w:t>
      </w:r>
      <w:r w:rsidRPr="00987ADA">
        <w:rPr>
          <w:rFonts w:ascii="Arial" w:hAnsi="Arial" w:cs="Arial"/>
        </w:rPr>
        <w:t xml:space="preserve"> provided Network Transmission Service (“NTS”) to Oncor under </w:t>
      </w:r>
      <w:r w:rsidRPr="00987ADA">
        <w:rPr>
          <w:rFonts w:ascii="Arial" w:hAnsi="Arial" w:cs="Arial"/>
        </w:rPr>
        <w:t>Sharyland’s</w:t>
      </w:r>
      <w:r w:rsidRPr="00987ADA">
        <w:rPr>
          <w:rFonts w:ascii="Arial" w:hAnsi="Arial" w:cs="Arial"/>
        </w:rPr>
        <w:t xml:space="preserve"> </w:t>
      </w:r>
      <w:r w:rsidR="00317759">
        <w:rPr>
          <w:rFonts w:ascii="Arial" w:hAnsi="Arial" w:cs="Arial"/>
        </w:rPr>
        <w:t xml:space="preserve">Wholesale </w:t>
      </w:r>
      <w:r w:rsidRPr="00987ADA">
        <w:rPr>
          <w:rFonts w:ascii="Arial" w:hAnsi="Arial" w:cs="Arial"/>
        </w:rPr>
        <w:t>Transmission Service (“</w:t>
      </w:r>
      <w:r w:rsidR="00317759">
        <w:rPr>
          <w:rFonts w:ascii="Arial" w:hAnsi="Arial" w:cs="Arial"/>
        </w:rPr>
        <w:t>W</w:t>
      </w:r>
      <w:r w:rsidRPr="00987ADA">
        <w:rPr>
          <w:rFonts w:ascii="Arial" w:hAnsi="Arial" w:cs="Arial"/>
        </w:rPr>
        <w:t xml:space="preserve">TS”) tariff.  </w:t>
      </w:r>
      <w:r w:rsidRPr="00987ADA">
        <w:rPr>
          <w:rFonts w:ascii="Arial" w:hAnsi="Arial" w:cs="Arial"/>
        </w:rPr>
        <w:t>Sharyland</w:t>
      </w:r>
      <w:r w:rsidRPr="00987ADA">
        <w:rPr>
          <w:rFonts w:ascii="Arial" w:hAnsi="Arial" w:cs="Arial"/>
        </w:rPr>
        <w:t xml:space="preserve"> charged Oncor the rates stated in </w:t>
      </w:r>
      <w:r w:rsidRPr="00987ADA">
        <w:rPr>
          <w:rFonts w:ascii="Arial" w:hAnsi="Arial" w:cs="Arial"/>
        </w:rPr>
        <w:t>Sharyland’s</w:t>
      </w:r>
      <w:r w:rsidRPr="00987ADA">
        <w:rPr>
          <w:rFonts w:ascii="Arial" w:hAnsi="Arial" w:cs="Arial"/>
        </w:rPr>
        <w:t xml:space="preserve"> </w:t>
      </w:r>
      <w:r w:rsidR="00317759">
        <w:rPr>
          <w:rFonts w:ascii="Arial" w:hAnsi="Arial" w:cs="Arial"/>
        </w:rPr>
        <w:t>W</w:t>
      </w:r>
      <w:r w:rsidRPr="00987ADA">
        <w:rPr>
          <w:rFonts w:ascii="Arial" w:hAnsi="Arial" w:cs="Arial"/>
        </w:rPr>
        <w:t>TS tariff as approved by the Public Utility Commission of Texas (“</w:t>
      </w:r>
      <w:r w:rsidR="00DB2AD7">
        <w:rPr>
          <w:rFonts w:ascii="Arial" w:hAnsi="Arial" w:cs="Arial"/>
        </w:rPr>
        <w:t>Commission</w:t>
      </w:r>
      <w:r w:rsidRPr="00987ADA">
        <w:rPr>
          <w:rFonts w:ascii="Arial" w:hAnsi="Arial" w:cs="Arial"/>
        </w:rPr>
        <w:t xml:space="preserve">”).  Oncor paid the same rates that </w:t>
      </w:r>
      <w:r w:rsidR="001A7F71">
        <w:rPr>
          <w:rFonts w:ascii="Arial" w:hAnsi="Arial" w:cs="Arial"/>
        </w:rPr>
        <w:t>all other distribution utilities</w:t>
      </w:r>
      <w:r w:rsidRPr="00987ADA">
        <w:rPr>
          <w:rFonts w:ascii="Arial" w:hAnsi="Arial" w:cs="Arial"/>
        </w:rPr>
        <w:t xml:space="preserve"> would pay for this tariffed service.</w:t>
      </w:r>
    </w:p>
    <w:p w:rsidR="00593933" w:rsidP="00690019" w14:paraId="6A2465BD" w14:textId="77777777">
      <w:pPr>
        <w:jc w:val="both"/>
        <w:rPr>
          <w:rFonts w:ascii="Arial" w:hAnsi="Arial" w:cs="Arial"/>
          <w:color w:val="auto"/>
          <w:shd w:val="clear" w:color="auto" w:fill="auto"/>
        </w:rPr>
      </w:pPr>
    </w:p>
    <w:p w:rsidR="00A4667C" w:rsidRPr="00690019" w:rsidP="00690019" w14:paraId="7A6CE2E0" w14:textId="77777777">
      <w:pPr>
        <w:jc w:val="both"/>
        <w:rPr>
          <w:rFonts w:ascii="Arial" w:hAnsi="Arial" w:cs="Arial"/>
          <w:color w:val="auto"/>
          <w:shd w:val="clear" w:color="auto" w:fill="auto"/>
        </w:rPr>
      </w:pPr>
    </w:p>
    <w:p w:rsidR="00593933" w:rsidRPr="00690019" w14:paraId="115FF76D" w14:textId="65FE1FC2">
      <w:pPr>
        <w:pStyle w:val="Heading1"/>
        <w:rPr>
          <w:rFonts w:cs="Arial"/>
          <w:color w:val="auto"/>
          <w:shd w:val="clear" w:color="auto" w:fill="auto"/>
        </w:rPr>
      </w:pPr>
      <w:r w:rsidRPr="00772404">
        <w:rPr>
          <w:rFonts w:cs="Arial"/>
        </w:rPr>
        <w:t>ONCOR ELECTRIC DELIVERY CO</w:t>
      </w:r>
      <w:r w:rsidR="00C005C4">
        <w:rPr>
          <w:rFonts w:cs="Arial"/>
        </w:rPr>
        <w:t>MPANY</w:t>
      </w:r>
      <w:r w:rsidRPr="00772404">
        <w:rPr>
          <w:rFonts w:cs="Arial"/>
        </w:rPr>
        <w:t xml:space="preserve"> NTU</w:t>
      </w:r>
      <w:r w:rsidR="00C005C4">
        <w:rPr>
          <w:rFonts w:cs="Arial"/>
        </w:rPr>
        <w:t xml:space="preserve"> LLC</w:t>
      </w:r>
    </w:p>
    <w:p w:rsidR="00593933" w:rsidRPr="00690019" w:rsidP="00690019" w14:paraId="29A3DC6D" w14:textId="77777777">
      <w:pPr>
        <w:jc w:val="center"/>
        <w:rPr>
          <w:rFonts w:ascii="Arial" w:hAnsi="Arial" w:cs="Arial"/>
          <w:color w:val="auto"/>
          <w:shd w:val="clear" w:color="auto" w:fill="auto"/>
        </w:rPr>
      </w:pPr>
    </w:p>
    <w:p w:rsidR="0020565E" w:rsidP="00690019" w14:paraId="7B51C3C6" w14:textId="677F0688">
      <w:pPr>
        <w:pStyle w:val="BodyText"/>
        <w:ind w:firstLine="720"/>
        <w:rPr>
          <w:rFonts w:cs="Arial"/>
          <w:bCs/>
          <w:color w:val="auto"/>
          <w:shd w:val="clear" w:color="auto" w:fill="auto"/>
        </w:rPr>
      </w:pPr>
      <w:r w:rsidRPr="00772404">
        <w:rPr>
          <w:rFonts w:cs="Arial"/>
          <w:bCs/>
        </w:rPr>
        <w:t xml:space="preserve">During the </w:t>
      </w:r>
      <w:r w:rsidR="00DB2AD7">
        <w:rPr>
          <w:rFonts w:cs="Arial"/>
          <w:bCs/>
        </w:rPr>
        <w:t>T</w:t>
      </w:r>
      <w:r w:rsidRPr="00772404">
        <w:rPr>
          <w:rFonts w:cs="Arial"/>
          <w:bCs/>
        </w:rPr>
        <w:t>e</w:t>
      </w:r>
      <w:r w:rsidRPr="00690019">
        <w:rPr>
          <w:rFonts w:cs="Arial"/>
          <w:bCs/>
        </w:rPr>
        <w:t xml:space="preserve">st </w:t>
      </w:r>
      <w:r w:rsidR="00DB2AD7">
        <w:rPr>
          <w:rFonts w:cs="Arial"/>
          <w:bCs/>
        </w:rPr>
        <w:t>Y</w:t>
      </w:r>
      <w:r w:rsidRPr="00690019">
        <w:rPr>
          <w:rFonts w:cs="Arial"/>
          <w:bCs/>
        </w:rPr>
        <w:t xml:space="preserve">ear, Oncor NTU provided NTS and Wholesale Distribution Substation Service (“WDSS”) to Oncor under NTU’s </w:t>
      </w:r>
      <w:r w:rsidR="00317759">
        <w:rPr>
          <w:rFonts w:cs="Arial"/>
          <w:bCs/>
        </w:rPr>
        <w:t>W</w:t>
      </w:r>
      <w:r w:rsidRPr="00690019">
        <w:rPr>
          <w:rFonts w:cs="Arial"/>
          <w:bCs/>
        </w:rPr>
        <w:t>TS and WDSS tariffs.  As discussed above</w:t>
      </w:r>
      <w:r w:rsidRPr="00690019" w:rsidR="0067402D">
        <w:rPr>
          <w:rFonts w:cs="Arial"/>
          <w:bCs/>
        </w:rPr>
        <w:t xml:space="preserve"> for </w:t>
      </w:r>
      <w:r w:rsidRPr="00690019" w:rsidR="0067402D">
        <w:rPr>
          <w:rFonts w:cs="Arial"/>
          <w:bCs/>
        </w:rPr>
        <w:t>Sharyland</w:t>
      </w:r>
      <w:r w:rsidRPr="00690019">
        <w:rPr>
          <w:rFonts w:cs="Arial"/>
          <w:bCs/>
        </w:rPr>
        <w:t>, Oncor NTU charged Oncor the rates stated in Oncor NTU</w:t>
      </w:r>
      <w:r w:rsidRPr="00690019" w:rsidR="0067402D">
        <w:rPr>
          <w:rFonts w:cs="Arial"/>
          <w:bCs/>
        </w:rPr>
        <w:t xml:space="preserve">’s </w:t>
      </w:r>
      <w:r w:rsidR="00317759">
        <w:rPr>
          <w:rFonts w:cs="Arial"/>
          <w:bCs/>
        </w:rPr>
        <w:t>W</w:t>
      </w:r>
      <w:r w:rsidRPr="00690019" w:rsidR="0067402D">
        <w:rPr>
          <w:rFonts w:cs="Arial"/>
          <w:bCs/>
        </w:rPr>
        <w:t xml:space="preserve">TS and WDSS tariffs as approved by the </w:t>
      </w:r>
      <w:r w:rsidR="00DB2AD7">
        <w:rPr>
          <w:rFonts w:cs="Arial"/>
          <w:bCs/>
        </w:rPr>
        <w:t>Commission</w:t>
      </w:r>
      <w:r w:rsidRPr="00690019" w:rsidR="0067402D">
        <w:rPr>
          <w:rFonts w:cs="Arial"/>
          <w:bCs/>
        </w:rPr>
        <w:t xml:space="preserve">.  Oncor paid the same rates that </w:t>
      </w:r>
      <w:r w:rsidR="001A7F71">
        <w:rPr>
          <w:rFonts w:cs="Arial"/>
          <w:bCs/>
        </w:rPr>
        <w:t>all other distribution utilities</w:t>
      </w:r>
      <w:r w:rsidRPr="00690019" w:rsidR="0067402D">
        <w:rPr>
          <w:rFonts w:cs="Arial"/>
          <w:bCs/>
        </w:rPr>
        <w:t xml:space="preserve"> would pay for those tariffed services.</w:t>
      </w:r>
    </w:p>
    <w:p w:rsidR="00A4667C" w:rsidP="00690019" w14:paraId="3003779B" w14:textId="77777777">
      <w:pPr>
        <w:pStyle w:val="BodyText"/>
        <w:ind w:firstLine="720"/>
        <w:rPr>
          <w:rFonts w:cs="Arial"/>
          <w:color w:val="auto"/>
          <w:shd w:val="clear" w:color="auto" w:fill="auto"/>
        </w:rPr>
      </w:pPr>
    </w:p>
    <w:p w:rsidR="00A4667C" w:rsidP="00690019" w14:paraId="3E48946D" w14:textId="77777777">
      <w:pPr>
        <w:pStyle w:val="BodyText"/>
        <w:ind w:firstLine="720"/>
        <w:rPr>
          <w:rFonts w:cs="Arial"/>
          <w:color w:val="auto"/>
          <w:shd w:val="clear" w:color="auto" w:fill="auto"/>
        </w:rPr>
      </w:pPr>
    </w:p>
    <w:p w:rsidR="0020565E" w:rsidP="00A4667C" w14:paraId="78FF06A7" w14:textId="0BC9275F">
      <w:pPr>
        <w:pStyle w:val="BodyText"/>
        <w:ind w:firstLine="720"/>
        <w:jc w:val="center"/>
        <w:rPr>
          <w:rFonts w:cs="Arial"/>
          <w:b/>
          <w:bCs/>
          <w:color w:val="auto"/>
          <w:u w:val="single"/>
          <w:shd w:val="clear" w:color="auto" w:fill="auto"/>
        </w:rPr>
      </w:pPr>
      <w:r w:rsidRPr="00A4667C">
        <w:rPr>
          <w:rFonts w:cs="Arial"/>
          <w:b/>
          <w:bCs/>
          <w:u w:val="single"/>
        </w:rPr>
        <w:t>ONCOR CARES FOUNDATION</w:t>
      </w:r>
    </w:p>
    <w:p w:rsidR="00A4667C" w:rsidRPr="00A4667C" w:rsidP="00A4667C" w14:paraId="10103A9F" w14:textId="77777777">
      <w:pPr>
        <w:pStyle w:val="BodyText"/>
        <w:ind w:firstLine="720"/>
        <w:jc w:val="center"/>
        <w:rPr>
          <w:rFonts w:cs="Arial"/>
          <w:b/>
          <w:bCs/>
          <w:color w:val="auto"/>
          <w:u w:val="single"/>
          <w:shd w:val="clear" w:color="auto" w:fill="auto"/>
        </w:rPr>
      </w:pPr>
    </w:p>
    <w:p w:rsidR="00A0781C" w:rsidRPr="00690019" w:rsidP="00E57C2F" w14:paraId="2FB35F30" w14:textId="337B5254">
      <w:pPr>
        <w:pStyle w:val="BodyText"/>
        <w:ind w:firstLine="720"/>
        <w:rPr>
          <w:rFonts w:cs="Arial"/>
          <w:color w:val="auto"/>
          <w:shd w:val="clear" w:color="auto" w:fill="auto"/>
        </w:rPr>
      </w:pPr>
      <w:r>
        <w:rPr>
          <w:rFonts w:cs="Arial"/>
        </w:rPr>
        <w:t>During the Test Year, Oncor contributed $276,540</w:t>
      </w:r>
      <w:r w:rsidRPr="00333D1A">
        <w:rPr>
          <w:rFonts w:cs="Arial"/>
        </w:rPr>
        <w:t xml:space="preserve"> </w:t>
      </w:r>
      <w:r>
        <w:rPr>
          <w:rFonts w:cs="Arial"/>
        </w:rPr>
        <w:t xml:space="preserve">to (a portion of which involved payment of expenses on behalf of) the Foundation, a non-profit corporation formed in June 2020 to make grants for charitable purposes and to direct resources in furtherance of such purposes. </w:t>
      </w:r>
      <w:r w:rsidR="005D51A4">
        <w:rPr>
          <w:rFonts w:cs="Arial"/>
        </w:rPr>
        <w:t xml:space="preserve">Each year, </w:t>
      </w:r>
      <w:r w:rsidR="005D51A4">
        <w:rPr>
          <w:rFonts w:cs="Arial"/>
        </w:rPr>
        <w:t>Oncor’s</w:t>
      </w:r>
      <w:r w:rsidR="005D51A4">
        <w:rPr>
          <w:rFonts w:cs="Arial"/>
        </w:rPr>
        <w:t xml:space="preserve"> Senior Leadership Team determines the level of contributions to be made to the Foundation for charitable purposes.  The amounts contributed by Oncor are discretionary and, therefore, independent of any other party making contributions to the Foundation.  The amount Oncor contributes to the Foundation is a component of </w:t>
      </w:r>
      <w:r w:rsidR="005D51A4">
        <w:rPr>
          <w:rFonts w:cs="Arial"/>
        </w:rPr>
        <w:t>Oncor’s</w:t>
      </w:r>
      <w:r w:rsidR="005D51A4">
        <w:rPr>
          <w:rFonts w:cs="Arial"/>
        </w:rPr>
        <w:t xml:space="preserve"> total contributions and is, therefore, a component of </w:t>
      </w:r>
      <w:r w:rsidR="005D51A4">
        <w:rPr>
          <w:rFonts w:cs="Arial"/>
        </w:rPr>
        <w:t>Oncor’s</w:t>
      </w:r>
      <w:r w:rsidR="005D51A4">
        <w:rPr>
          <w:rFonts w:cs="Arial"/>
        </w:rPr>
        <w:t xml:space="preserve"> total contributions subject to the three-tenths of 1.0% (0.3%) of the utility’s gross receipts limitation for contributions as expressed in </w:t>
      </w:r>
      <w:r w:rsidR="00DB2AD7">
        <w:rPr>
          <w:rFonts w:cs="Arial"/>
        </w:rPr>
        <w:t>16 Tex. Admin. Code</w:t>
      </w:r>
      <w:r w:rsidR="005D51A4">
        <w:rPr>
          <w:rFonts w:cs="Arial"/>
        </w:rPr>
        <w:t xml:space="preserve"> </w:t>
      </w:r>
      <w:r w:rsidR="00DB2AD7">
        <w:rPr>
          <w:rFonts w:cs="Arial"/>
        </w:rPr>
        <w:t xml:space="preserve">§ </w:t>
      </w:r>
      <w:r w:rsidR="005D51A4">
        <w:rPr>
          <w:rFonts w:cs="Arial"/>
        </w:rPr>
        <w:t xml:space="preserve">25.231.  </w:t>
      </w:r>
    </w:p>
    <w:sectPr w:rsidSect="0081105A">
      <w:headerReference w:type="default" r:id="rId4"/>
      <w:endnotePr>
        <w:numFmt w:val="decimal"/>
      </w:endnotePr>
      <w:type w:val="continuous"/>
      <w:pgSz w:w="12240" w:h="15840"/>
      <w:pgMar w:top="1440" w:right="1008" w:bottom="1152" w:left="2160" w:header="1440" w:footer="1152"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7A51" w:rsidP="0081105A" w14:paraId="4ACA0E40" w14:textId="77777777">
    <w:pPr>
      <w:pStyle w:val="Header"/>
      <w:tabs>
        <w:tab w:val="left" w:pos="195"/>
      </w:tabs>
      <w:jc w:val="right"/>
      <w:rPr>
        <w:rFonts w:ascii="Arial" w:hAnsi="Arial"/>
        <w:b/>
        <w:color w:val="auto"/>
        <w:shd w:val="clear" w:color="auto" w:fill="auto"/>
      </w:rPr>
    </w:pPr>
    <w:r>
      <w:rPr>
        <w:rFonts w:ascii="Arial" w:hAnsi="Arial"/>
        <w:b/>
      </w:rPr>
      <w:t>Schedule V-K-</w:t>
    </w:r>
    <w:r w:rsidR="002C0A78">
      <w:rPr>
        <w:rFonts w:ascii="Arial" w:hAnsi="Arial"/>
        <w:b/>
      </w:rPr>
      <w:t>10</w:t>
    </w:r>
  </w:p>
  <w:p w:rsidR="00707A51" w:rsidRPr="00D1263B" w:rsidP="0081105A" w14:paraId="449182BE" w14:textId="43754D44">
    <w:pPr>
      <w:pStyle w:val="Header"/>
      <w:tabs>
        <w:tab w:val="left" w:pos="270"/>
      </w:tabs>
      <w:jc w:val="right"/>
      <w:rPr>
        <w:rFonts w:ascii="Arial" w:hAnsi="Arial" w:cs="Arial"/>
        <w:b/>
        <w:color w:val="auto"/>
        <w:shd w:val="clear" w:color="auto" w:fill="auto"/>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Pr="00D1263B">
      <w:rPr>
        <w:rStyle w:val="PageNumber"/>
        <w:rFonts w:ascii="Arial" w:hAnsi="Arial" w:cs="Arial"/>
        <w:b/>
      </w:rPr>
      <w:fldChar w:fldCharType="begin"/>
    </w:r>
    <w:r w:rsidRPr="00D1263B">
      <w:rPr>
        <w:rStyle w:val="PageNumber"/>
        <w:rFonts w:ascii="Arial" w:hAnsi="Arial" w:cs="Arial"/>
        <w:b/>
      </w:rPr>
      <w:instrText xml:space="preserve"> PAGE </w:instrText>
    </w:r>
    <w:r w:rsidRPr="00D1263B">
      <w:rPr>
        <w:rStyle w:val="PageNumber"/>
        <w:rFonts w:ascii="Arial" w:hAnsi="Arial" w:cs="Arial"/>
        <w:b/>
      </w:rPr>
      <w:fldChar w:fldCharType="separate"/>
    </w:r>
    <w:r w:rsidR="00D140BB">
      <w:rPr>
        <w:rStyle w:val="PageNumber"/>
        <w:rFonts w:ascii="Arial" w:hAnsi="Arial" w:cs="Arial"/>
        <w:b/>
        <w:noProof/>
      </w:rPr>
      <w:t>1</w:t>
    </w:r>
    <w:r w:rsidRPr="00D1263B">
      <w:rPr>
        <w:rStyle w:val="PageNumber"/>
        <w:rFonts w:ascii="Arial" w:hAnsi="Arial" w:cs="Arial"/>
        <w:b/>
      </w:rPr>
      <w:fldChar w:fldCharType="end"/>
    </w:r>
    <w:r w:rsidRPr="00D1263B">
      <w:rPr>
        <w:rStyle w:val="PageNumber"/>
        <w:rFonts w:ascii="Arial" w:hAnsi="Arial" w:cs="Arial"/>
        <w:b/>
      </w:rPr>
      <w:t xml:space="preserve"> of </w:t>
    </w:r>
    <w:r>
      <w:rPr>
        <w:rStyle w:val="PageNumber"/>
        <w:rFonts w:ascii="Arial" w:hAnsi="Arial" w:cs="Arial"/>
        <w:b/>
      </w:rPr>
      <w:t>2</w:t>
    </w:r>
  </w:p>
  <w:p w:rsidR="00B36B89" w14:paraId="1D519688" w14:textId="77777777">
    <w:pPr>
      <w:pStyle w:val="Header"/>
      <w:rPr>
        <w:color w:val="auto"/>
        <w:shd w:val="clear" w:color="auto" w:fill="auto"/>
      </w:rPr>
    </w:pPr>
  </w:p>
  <w:p w:rsidR="00B36B89" w14:paraId="5E089B46" w14:textId="77777777">
    <w:pPr>
      <w:pStyle w:val="Header"/>
      <w:rPr>
        <w:color w:val="auto"/>
        <w:shd w:val="clear" w:color="auto" w:fil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0"/>
    <w:lvl w:ilvl="0">
      <w:start w:val="1"/>
      <w:numFmt w:val="upperLetter"/>
      <w:pStyle w:val="QuickA"/>
      <w:lvlText w:val="%1."/>
      <w:lvlJc w:val="left"/>
      <w:pPr>
        <w:tabs>
          <w:tab w:val="num" w:pos="720"/>
        </w:tabs>
      </w:pPr>
      <w:rPr>
        <w:rFonts w:ascii="Arial" w:hAnsi="Arial"/>
        <w:sz w:val="24"/>
      </w:rPr>
    </w:lvl>
  </w:abstractNum>
  <w:num w:numId="1">
    <w:abstractNumId w:val="0"/>
    <w:lvlOverride w:ilvl="0">
      <w:startOverride w:val="1"/>
      <w:lvl w:ilvl="0">
        <w:start w:val="1"/>
        <w:numFmt w:val="decimal"/>
        <w:pStyle w:val="QuickA"/>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AB0"/>
    <w:rsid w:val="0000082F"/>
    <w:rsid w:val="00004FA2"/>
    <w:rsid w:val="000C4FB9"/>
    <w:rsid w:val="000C6D61"/>
    <w:rsid w:val="000D5263"/>
    <w:rsid w:val="000E18C3"/>
    <w:rsid w:val="000E2B22"/>
    <w:rsid w:val="0011329C"/>
    <w:rsid w:val="00121147"/>
    <w:rsid w:val="00151D6D"/>
    <w:rsid w:val="001563A0"/>
    <w:rsid w:val="00160117"/>
    <w:rsid w:val="00171671"/>
    <w:rsid w:val="001762C8"/>
    <w:rsid w:val="00186C82"/>
    <w:rsid w:val="00191F63"/>
    <w:rsid w:val="001A7F71"/>
    <w:rsid w:val="001B78B2"/>
    <w:rsid w:val="001C4399"/>
    <w:rsid w:val="001F091A"/>
    <w:rsid w:val="001F3CD4"/>
    <w:rsid w:val="002023F0"/>
    <w:rsid w:val="0020565E"/>
    <w:rsid w:val="002128F5"/>
    <w:rsid w:val="00242958"/>
    <w:rsid w:val="002502B1"/>
    <w:rsid w:val="002664D8"/>
    <w:rsid w:val="0027373B"/>
    <w:rsid w:val="002754CB"/>
    <w:rsid w:val="0028678B"/>
    <w:rsid w:val="002B3806"/>
    <w:rsid w:val="002C0A78"/>
    <w:rsid w:val="002D09BF"/>
    <w:rsid w:val="002D58E7"/>
    <w:rsid w:val="00317759"/>
    <w:rsid w:val="003263F2"/>
    <w:rsid w:val="003330DD"/>
    <w:rsid w:val="00333D1A"/>
    <w:rsid w:val="003342C1"/>
    <w:rsid w:val="00350B73"/>
    <w:rsid w:val="00355D21"/>
    <w:rsid w:val="00383AAE"/>
    <w:rsid w:val="003C77E2"/>
    <w:rsid w:val="003D7D82"/>
    <w:rsid w:val="00404670"/>
    <w:rsid w:val="00416851"/>
    <w:rsid w:val="004A26EA"/>
    <w:rsid w:val="004A2BF3"/>
    <w:rsid w:val="004B4694"/>
    <w:rsid w:val="004C6BBF"/>
    <w:rsid w:val="004D636C"/>
    <w:rsid w:val="004D7DCD"/>
    <w:rsid w:val="004F15E8"/>
    <w:rsid w:val="005057B2"/>
    <w:rsid w:val="00510378"/>
    <w:rsid w:val="0052214B"/>
    <w:rsid w:val="0057449B"/>
    <w:rsid w:val="00581C28"/>
    <w:rsid w:val="00593933"/>
    <w:rsid w:val="00596AB0"/>
    <w:rsid w:val="005A0C36"/>
    <w:rsid w:val="005A1641"/>
    <w:rsid w:val="005B554E"/>
    <w:rsid w:val="005D4BF0"/>
    <w:rsid w:val="005D51A4"/>
    <w:rsid w:val="005E4859"/>
    <w:rsid w:val="005F5E4D"/>
    <w:rsid w:val="005F7234"/>
    <w:rsid w:val="00605738"/>
    <w:rsid w:val="00607470"/>
    <w:rsid w:val="00620799"/>
    <w:rsid w:val="00643CAD"/>
    <w:rsid w:val="00671C30"/>
    <w:rsid w:val="0067402D"/>
    <w:rsid w:val="00681ECD"/>
    <w:rsid w:val="00687743"/>
    <w:rsid w:val="00690019"/>
    <w:rsid w:val="00695A65"/>
    <w:rsid w:val="00697323"/>
    <w:rsid w:val="006C6EFD"/>
    <w:rsid w:val="006E4BE3"/>
    <w:rsid w:val="006F3B48"/>
    <w:rsid w:val="0070786F"/>
    <w:rsid w:val="00707A51"/>
    <w:rsid w:val="00710A51"/>
    <w:rsid w:val="00713499"/>
    <w:rsid w:val="0071640C"/>
    <w:rsid w:val="00740742"/>
    <w:rsid w:val="007570BC"/>
    <w:rsid w:val="00772404"/>
    <w:rsid w:val="00775B83"/>
    <w:rsid w:val="00782C7A"/>
    <w:rsid w:val="007A7DC7"/>
    <w:rsid w:val="007C186F"/>
    <w:rsid w:val="007E1EBD"/>
    <w:rsid w:val="007E335D"/>
    <w:rsid w:val="007E5EDB"/>
    <w:rsid w:val="007F69B6"/>
    <w:rsid w:val="008019A6"/>
    <w:rsid w:val="0080695D"/>
    <w:rsid w:val="0081105A"/>
    <w:rsid w:val="00815F90"/>
    <w:rsid w:val="008169A4"/>
    <w:rsid w:val="00824143"/>
    <w:rsid w:val="00824FE7"/>
    <w:rsid w:val="008251D9"/>
    <w:rsid w:val="00870947"/>
    <w:rsid w:val="008776A3"/>
    <w:rsid w:val="008962DB"/>
    <w:rsid w:val="008A5C64"/>
    <w:rsid w:val="008C4191"/>
    <w:rsid w:val="008D3762"/>
    <w:rsid w:val="008E3F8A"/>
    <w:rsid w:val="008E4831"/>
    <w:rsid w:val="008F3EC9"/>
    <w:rsid w:val="008F7401"/>
    <w:rsid w:val="008F7807"/>
    <w:rsid w:val="009040FC"/>
    <w:rsid w:val="00906EC2"/>
    <w:rsid w:val="009202C6"/>
    <w:rsid w:val="00946454"/>
    <w:rsid w:val="00952B59"/>
    <w:rsid w:val="00965C03"/>
    <w:rsid w:val="009808B5"/>
    <w:rsid w:val="00987ADA"/>
    <w:rsid w:val="00994424"/>
    <w:rsid w:val="009A4B4E"/>
    <w:rsid w:val="009D3E14"/>
    <w:rsid w:val="009E7697"/>
    <w:rsid w:val="00A0781C"/>
    <w:rsid w:val="00A24401"/>
    <w:rsid w:val="00A2719F"/>
    <w:rsid w:val="00A4667C"/>
    <w:rsid w:val="00A634C9"/>
    <w:rsid w:val="00A72BEF"/>
    <w:rsid w:val="00A747F6"/>
    <w:rsid w:val="00A83B45"/>
    <w:rsid w:val="00A909C8"/>
    <w:rsid w:val="00AA0956"/>
    <w:rsid w:val="00AC65A8"/>
    <w:rsid w:val="00AE08C6"/>
    <w:rsid w:val="00AE3797"/>
    <w:rsid w:val="00AF1562"/>
    <w:rsid w:val="00B1008D"/>
    <w:rsid w:val="00B14168"/>
    <w:rsid w:val="00B1747D"/>
    <w:rsid w:val="00B337F5"/>
    <w:rsid w:val="00B33C0C"/>
    <w:rsid w:val="00B36B89"/>
    <w:rsid w:val="00B42D13"/>
    <w:rsid w:val="00B4545B"/>
    <w:rsid w:val="00B5089C"/>
    <w:rsid w:val="00B662C3"/>
    <w:rsid w:val="00B76235"/>
    <w:rsid w:val="00B96D1C"/>
    <w:rsid w:val="00BB2A10"/>
    <w:rsid w:val="00C005C4"/>
    <w:rsid w:val="00C17B6F"/>
    <w:rsid w:val="00C4181C"/>
    <w:rsid w:val="00C46507"/>
    <w:rsid w:val="00C61F7C"/>
    <w:rsid w:val="00C77DC3"/>
    <w:rsid w:val="00C83B82"/>
    <w:rsid w:val="00C96CB0"/>
    <w:rsid w:val="00C97088"/>
    <w:rsid w:val="00CA56C5"/>
    <w:rsid w:val="00CB1846"/>
    <w:rsid w:val="00CD171B"/>
    <w:rsid w:val="00D1263B"/>
    <w:rsid w:val="00D140BB"/>
    <w:rsid w:val="00D23B67"/>
    <w:rsid w:val="00D45A67"/>
    <w:rsid w:val="00D536A0"/>
    <w:rsid w:val="00D6453B"/>
    <w:rsid w:val="00D937C0"/>
    <w:rsid w:val="00DB2AD7"/>
    <w:rsid w:val="00DB7307"/>
    <w:rsid w:val="00DC3E37"/>
    <w:rsid w:val="00DD0F24"/>
    <w:rsid w:val="00E33AFC"/>
    <w:rsid w:val="00E448E8"/>
    <w:rsid w:val="00E57C2F"/>
    <w:rsid w:val="00E83E16"/>
    <w:rsid w:val="00E92AC3"/>
    <w:rsid w:val="00EA0251"/>
    <w:rsid w:val="00EB453F"/>
    <w:rsid w:val="00EB5B40"/>
    <w:rsid w:val="00EC4CB5"/>
    <w:rsid w:val="00ED79E2"/>
    <w:rsid w:val="00F12E44"/>
    <w:rsid w:val="00F40259"/>
    <w:rsid w:val="00F54601"/>
    <w:rsid w:val="00F57630"/>
    <w:rsid w:val="00F66B4A"/>
    <w:rsid w:val="00F81830"/>
    <w:rsid w:val="00FB4C7C"/>
    <w:rsid w:val="00FB50B5"/>
    <w:rsid w:val="00FC2EA3"/>
    <w:rsid w:val="00FD4CBB"/>
    <w:rsid w:val="00FD6691"/>
    <w:rsid w:val="00FE013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92CFD079-69E4-4F31-95E7-5895F6FF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E14"/>
    <w:pPr>
      <w:widowControl w:val="0"/>
    </w:pPr>
    <w:rPr>
      <w:snapToGrid w:val="0"/>
      <w:sz w:val="24"/>
    </w:rPr>
  </w:style>
  <w:style w:type="paragraph" w:styleId="Heading1">
    <w:name w:val="heading 1"/>
    <w:basedOn w:val="Normal"/>
    <w:next w:val="Normal"/>
    <w:qFormat/>
    <w:rsid w:val="009D3E14"/>
    <w:pPr>
      <w:keepNext/>
      <w:ind w:right="432"/>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D3E14"/>
  </w:style>
  <w:style w:type="paragraph" w:styleId="Header">
    <w:name w:val="header"/>
    <w:basedOn w:val="Normal"/>
    <w:link w:val="HeaderChar"/>
    <w:uiPriority w:val="99"/>
    <w:rsid w:val="009D3E14"/>
    <w:pPr>
      <w:tabs>
        <w:tab w:val="center" w:pos="4320"/>
        <w:tab w:val="right" w:pos="8640"/>
      </w:tabs>
    </w:pPr>
  </w:style>
  <w:style w:type="paragraph" w:styleId="Footer">
    <w:name w:val="footer"/>
    <w:basedOn w:val="Normal"/>
    <w:rsid w:val="009D3E14"/>
    <w:pPr>
      <w:tabs>
        <w:tab w:val="center" w:pos="4320"/>
        <w:tab w:val="right" w:pos="8640"/>
      </w:tabs>
    </w:pPr>
  </w:style>
  <w:style w:type="character" w:styleId="PageNumber">
    <w:name w:val="page number"/>
    <w:basedOn w:val="DefaultParagraphFont"/>
    <w:rsid w:val="009D3E14"/>
  </w:style>
  <w:style w:type="paragraph" w:styleId="BodyTextIndent">
    <w:name w:val="Body Text Indent"/>
    <w:basedOn w:val="Normal"/>
    <w:rsid w:val="009D3E14"/>
    <w:pPr>
      <w:ind w:right="432" w:firstLine="720"/>
      <w:jc w:val="both"/>
    </w:pPr>
    <w:rPr>
      <w:rFonts w:ascii="Arial" w:hAnsi="Arial"/>
    </w:rPr>
  </w:style>
  <w:style w:type="paragraph" w:styleId="BodyText">
    <w:name w:val="Body Text"/>
    <w:basedOn w:val="Normal"/>
    <w:rsid w:val="009D3E14"/>
    <w:pPr>
      <w:ind w:right="432"/>
      <w:jc w:val="both"/>
    </w:pPr>
    <w:rPr>
      <w:rFonts w:ascii="Arial" w:hAnsi="Arial"/>
      <w:snapToGrid/>
    </w:rPr>
  </w:style>
  <w:style w:type="paragraph" w:customStyle="1" w:styleId="QuickA">
    <w:name w:val="Quick A."/>
    <w:basedOn w:val="Normal"/>
    <w:rsid w:val="009D3E14"/>
    <w:pPr>
      <w:numPr>
        <w:numId w:val="1"/>
      </w:numPr>
      <w:ind w:left="720" w:hanging="720"/>
    </w:pPr>
    <w:rPr>
      <w:rFonts w:ascii="Arial" w:hAnsi="Arial"/>
    </w:rPr>
  </w:style>
  <w:style w:type="paragraph" w:styleId="BalloonText">
    <w:name w:val="Balloon Text"/>
    <w:basedOn w:val="Normal"/>
    <w:semiHidden/>
    <w:rsid w:val="001F3CD4"/>
    <w:rPr>
      <w:rFonts w:ascii="Tahoma" w:hAnsi="Tahoma" w:cs="Tahoma"/>
      <w:sz w:val="16"/>
      <w:szCs w:val="16"/>
    </w:rPr>
  </w:style>
  <w:style w:type="character" w:customStyle="1" w:styleId="HeaderChar">
    <w:name w:val="Header Char"/>
    <w:basedOn w:val="DefaultParagraphFont"/>
    <w:link w:val="Header"/>
    <w:uiPriority w:val="99"/>
    <w:rsid w:val="00B36B89"/>
    <w:rPr>
      <w:snapToGrid w:val="0"/>
      <w:sz w:val="24"/>
    </w:rPr>
  </w:style>
  <w:style w:type="paragraph" w:customStyle="1" w:styleId="xxmsonormal">
    <w:name w:val="xxmsonormal"/>
    <w:basedOn w:val="Normal"/>
    <w:rsid w:val="00C83B82"/>
    <w:pPr>
      <w:widowControl/>
      <w:spacing w:before="100" w:beforeAutospacing="1" w:after="100" w:afterAutospacing="1"/>
    </w:pPr>
    <w:rPr>
      <w:snapToGrid/>
      <w:szCs w:val="24"/>
    </w:rPr>
  </w:style>
  <w:style w:type="paragraph" w:styleId="Revision">
    <w:name w:val="Revision"/>
    <w:hidden/>
    <w:uiPriority w:val="99"/>
    <w:semiHidden/>
    <w:rsid w:val="005F5E4D"/>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692</Words>
  <Characters>3785</Characters>
  <Application>Microsoft Office Word</Application>
  <DocSecurity>0</DocSecurity>
  <Lines>31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