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6 -->
  <w:body>
    <w:p w:rsidR="00871C60" w:rsidP="00E841C6" w14:paraId="7869EF74" w14:textId="77777777">
      <w:pPr>
        <w:jc w:val="both"/>
        <w:rPr>
          <w:rFonts w:ascii="Arial" w:hAnsi="Arial"/>
          <w:b/>
          <w:color w:val="auto"/>
          <w:shd w:val="clear" w:color="auto" w:fill="auto"/>
        </w:rPr>
      </w:pPr>
    </w:p>
    <w:p w:rsidR="008935AE" w14:paraId="13143D5D" w14:textId="2986A54A">
      <w:pPr>
        <w:jc w:val="center"/>
        <w:rPr>
          <w:rFonts w:ascii="Arial" w:hAnsi="Arial"/>
          <w:b/>
          <w:color w:val="auto"/>
          <w:shd w:val="clear" w:color="auto" w:fill="auto"/>
        </w:rPr>
      </w:pPr>
      <w:r>
        <w:rPr>
          <w:rFonts w:ascii="Arial" w:hAnsi="Arial"/>
          <w:b/>
        </w:rPr>
        <w:t>20</w:t>
      </w:r>
      <w:r w:rsidR="00A33ADB">
        <w:rPr>
          <w:rFonts w:ascii="Arial" w:hAnsi="Arial"/>
          <w:b/>
        </w:rPr>
        <w:t>2</w:t>
      </w:r>
      <w:r w:rsidR="006669D8">
        <w:rPr>
          <w:rFonts w:ascii="Arial" w:hAnsi="Arial"/>
          <w:b/>
        </w:rPr>
        <w:t>2</w:t>
      </w:r>
      <w:r>
        <w:rPr>
          <w:rFonts w:ascii="Arial" w:hAnsi="Arial"/>
          <w:b/>
        </w:rPr>
        <w:t xml:space="preserve"> RATE CASE</w:t>
      </w:r>
    </w:p>
    <w:p w:rsidR="00D1263B" w14:paraId="0A82D4F5" w14:textId="77777777">
      <w:pPr>
        <w:jc w:val="center"/>
        <w:rPr>
          <w:rFonts w:ascii="Arial" w:hAnsi="Arial"/>
          <w:b/>
          <w:color w:val="auto"/>
          <w:shd w:val="clear" w:color="auto" w:fill="auto"/>
        </w:rPr>
      </w:pPr>
      <w:r>
        <w:rPr>
          <w:rFonts w:ascii="Arial" w:hAnsi="Arial"/>
          <w:b/>
        </w:rPr>
        <w:t>ONCOR</w:t>
      </w:r>
      <w:r>
        <w:rPr>
          <w:rFonts w:ascii="Arial" w:hAnsi="Arial"/>
          <w:b/>
        </w:rPr>
        <w:t xml:space="preserve"> ELECTRIC DELIVERY</w:t>
      </w:r>
      <w:r>
        <w:rPr>
          <w:rFonts w:ascii="Arial" w:hAnsi="Arial"/>
          <w:b/>
        </w:rPr>
        <w:t xml:space="preserve"> COMPANY</w:t>
      </w:r>
      <w:r w:rsidR="00B230E2">
        <w:rPr>
          <w:rFonts w:ascii="Arial" w:hAnsi="Arial"/>
          <w:b/>
        </w:rPr>
        <w:t xml:space="preserve"> LLC</w:t>
      </w:r>
    </w:p>
    <w:p w:rsidR="00D1263B" w14:paraId="58306902" w14:textId="77777777">
      <w:pPr>
        <w:jc w:val="center"/>
        <w:rPr>
          <w:rFonts w:ascii="Arial" w:hAnsi="Arial"/>
          <w:color w:val="auto"/>
          <w:shd w:val="clear" w:color="auto" w:fill="auto"/>
        </w:rPr>
      </w:pPr>
      <w:r>
        <w:rPr>
          <w:rFonts w:ascii="Arial" w:hAnsi="Arial"/>
          <w:b/>
        </w:rPr>
        <w:t xml:space="preserve">V-K-7 </w:t>
      </w:r>
      <w:r>
        <w:rPr>
          <w:rFonts w:ascii="Arial" w:hAnsi="Arial"/>
          <w:b/>
        </w:rPr>
        <w:t>STATUTORY REQUIREMENTS</w:t>
      </w:r>
    </w:p>
    <w:p w:rsidR="00D1263B" w14:paraId="54395FCC" w14:textId="3FAEA1EC">
      <w:pPr>
        <w:jc w:val="center"/>
        <w:rPr>
          <w:rFonts w:ascii="Arial" w:hAnsi="Arial"/>
          <w:b/>
          <w:color w:val="auto"/>
          <w:shd w:val="clear" w:color="auto" w:fill="auto"/>
        </w:rPr>
      </w:pPr>
      <w:r>
        <w:rPr>
          <w:rFonts w:ascii="Arial" w:hAnsi="Arial"/>
          <w:b/>
        </w:rPr>
        <w:t xml:space="preserve">FOR THE TEST YEAR ENDING </w:t>
      </w:r>
      <w:r w:rsidR="00D4004F">
        <w:rPr>
          <w:rFonts w:ascii="Arial" w:hAnsi="Arial"/>
          <w:b/>
        </w:rPr>
        <w:t>DEC</w:t>
      </w:r>
      <w:r w:rsidR="004359D4">
        <w:rPr>
          <w:rFonts w:ascii="Arial" w:hAnsi="Arial"/>
          <w:b/>
        </w:rPr>
        <w:t>E</w:t>
      </w:r>
      <w:r w:rsidR="00823836">
        <w:rPr>
          <w:rFonts w:ascii="Arial" w:hAnsi="Arial"/>
          <w:b/>
        </w:rPr>
        <w:t>MBER 3</w:t>
      </w:r>
      <w:r w:rsidR="00D4004F">
        <w:rPr>
          <w:rFonts w:ascii="Arial" w:hAnsi="Arial"/>
          <w:b/>
        </w:rPr>
        <w:t>1</w:t>
      </w:r>
      <w:r>
        <w:rPr>
          <w:rFonts w:ascii="Arial" w:hAnsi="Arial"/>
          <w:b/>
        </w:rPr>
        <w:t>, 202</w:t>
      </w:r>
      <w:r w:rsidR="006669D8">
        <w:rPr>
          <w:rFonts w:ascii="Arial" w:hAnsi="Arial"/>
          <w:b/>
        </w:rPr>
        <w:t>1</w:t>
      </w:r>
    </w:p>
    <w:p w:rsidR="00D1263B" w14:paraId="381CE86E" w14:textId="7FC1EA3D">
      <w:pPr>
        <w:jc w:val="center"/>
        <w:rPr>
          <w:rFonts w:ascii="Arial" w:hAnsi="Arial"/>
          <w:b/>
          <w:color w:val="auto"/>
          <w:shd w:val="clear" w:color="auto" w:fill="auto"/>
        </w:rPr>
      </w:pPr>
      <w:r>
        <w:rPr>
          <w:rFonts w:ascii="Arial" w:hAnsi="Arial"/>
          <w:b/>
        </w:rPr>
        <w:t xml:space="preserve">SPONSOR:  </w:t>
      </w:r>
      <w:r w:rsidR="00234CE6">
        <w:rPr>
          <w:rFonts w:ascii="Arial" w:hAnsi="Arial"/>
          <w:b/>
        </w:rPr>
        <w:t>M.</w:t>
      </w:r>
      <w:r w:rsidR="008C0CB0">
        <w:rPr>
          <w:rFonts w:ascii="Arial" w:hAnsi="Arial"/>
          <w:b/>
        </w:rPr>
        <w:t xml:space="preserve"> </w:t>
      </w:r>
      <w:r w:rsidR="00234CE6">
        <w:rPr>
          <w:rFonts w:ascii="Arial" w:hAnsi="Arial"/>
          <w:b/>
        </w:rPr>
        <w:t>G. GRABLE</w:t>
      </w:r>
    </w:p>
    <w:p w:rsidR="00CD22D3" w14:paraId="480D9D33" w14:textId="77777777">
      <w:pPr>
        <w:jc w:val="center"/>
        <w:rPr>
          <w:rFonts w:ascii="Arial" w:hAnsi="Arial"/>
          <w:b/>
          <w:color w:val="auto"/>
          <w:shd w:val="clear" w:color="auto" w:fill="auto"/>
        </w:rPr>
      </w:pPr>
    </w:p>
    <w:p w:rsidR="0048515A" w14:paraId="4D54942E" w14:textId="77777777">
      <w:pPr>
        <w:pStyle w:val="Heading1"/>
        <w:rPr>
          <w:color w:val="auto"/>
          <w:shd w:val="clear" w:color="auto" w:fill="auto"/>
        </w:rPr>
      </w:pPr>
    </w:p>
    <w:p w:rsidR="0048515A" w:rsidRPr="0048515A" w:rsidP="00E90A2D" w14:paraId="40C57CB5" w14:textId="1FE12C33">
      <w:pPr>
        <w:pStyle w:val="Heading1"/>
        <w:ind w:firstLine="720"/>
        <w:jc w:val="both"/>
        <w:rPr>
          <w:b w:val="0"/>
          <w:color w:val="auto"/>
          <w:u w:val="none"/>
          <w:shd w:val="clear" w:color="auto" w:fill="auto"/>
        </w:rPr>
      </w:pPr>
      <w:bookmarkStart w:id="0" w:name="_GoBack"/>
      <w:bookmarkEnd w:id="0"/>
      <w:r w:rsidRPr="0048515A">
        <w:rPr>
          <w:b w:val="0"/>
          <w:snapToGrid/>
          <w:u w:val="none"/>
        </w:rPr>
        <w:t xml:space="preserve">The following entities were affiliated with Oncor </w:t>
      </w:r>
      <w:r w:rsidR="0085133F">
        <w:rPr>
          <w:b w:val="0"/>
          <w:snapToGrid/>
          <w:u w:val="none"/>
        </w:rPr>
        <w:t xml:space="preserve">Electric Delivery Company LLC (“Oncor” or “Company”) </w:t>
      </w:r>
      <w:r w:rsidRPr="0048515A">
        <w:rPr>
          <w:b w:val="0"/>
          <w:snapToGrid/>
          <w:u w:val="none"/>
        </w:rPr>
        <w:t xml:space="preserve">during the </w:t>
      </w:r>
      <w:r w:rsidR="00001422">
        <w:rPr>
          <w:b w:val="0"/>
          <w:snapToGrid/>
          <w:u w:val="none"/>
        </w:rPr>
        <w:t>t</w:t>
      </w:r>
      <w:r w:rsidRPr="0048515A">
        <w:rPr>
          <w:b w:val="0"/>
          <w:snapToGrid/>
          <w:u w:val="none"/>
        </w:rPr>
        <w:t xml:space="preserve">est </w:t>
      </w:r>
      <w:r w:rsidR="00001422">
        <w:rPr>
          <w:b w:val="0"/>
          <w:snapToGrid/>
          <w:u w:val="none"/>
        </w:rPr>
        <w:t>y</w:t>
      </w:r>
      <w:r w:rsidRPr="0048515A">
        <w:rPr>
          <w:b w:val="0"/>
          <w:snapToGrid/>
          <w:u w:val="none"/>
        </w:rPr>
        <w:t xml:space="preserve">ear </w:t>
      </w:r>
      <w:r w:rsidR="00F43AD8">
        <w:rPr>
          <w:b w:val="0"/>
          <w:szCs w:val="24"/>
          <w:u w:val="none"/>
        </w:rPr>
        <w:t>ended December 31, 20</w:t>
      </w:r>
      <w:r w:rsidR="00234CE6">
        <w:rPr>
          <w:b w:val="0"/>
          <w:szCs w:val="24"/>
          <w:u w:val="none"/>
        </w:rPr>
        <w:t>2</w:t>
      </w:r>
      <w:r w:rsidR="00930D4B">
        <w:rPr>
          <w:b w:val="0"/>
          <w:szCs w:val="24"/>
          <w:u w:val="none"/>
        </w:rPr>
        <w:t>1</w:t>
      </w:r>
      <w:r w:rsidR="00001422">
        <w:rPr>
          <w:b w:val="0"/>
          <w:szCs w:val="24"/>
          <w:u w:val="none"/>
        </w:rPr>
        <w:t xml:space="preserve"> (“Test Year”)</w:t>
      </w:r>
      <w:r w:rsidR="00F43AD8">
        <w:rPr>
          <w:b w:val="0"/>
          <w:szCs w:val="24"/>
          <w:u w:val="none"/>
        </w:rPr>
        <w:t xml:space="preserve"> </w:t>
      </w:r>
      <w:r w:rsidRPr="0048515A">
        <w:rPr>
          <w:b w:val="0"/>
          <w:snapToGrid/>
          <w:u w:val="none"/>
        </w:rPr>
        <w:t xml:space="preserve">and provided services to </w:t>
      </w:r>
      <w:r w:rsidR="00CE1942">
        <w:rPr>
          <w:b w:val="0"/>
          <w:snapToGrid/>
          <w:u w:val="none"/>
        </w:rPr>
        <w:t xml:space="preserve">or received contributions from </w:t>
      </w:r>
      <w:r w:rsidRPr="0048515A">
        <w:rPr>
          <w:b w:val="0"/>
          <w:snapToGrid/>
          <w:u w:val="none"/>
        </w:rPr>
        <w:t xml:space="preserve">the Company: </w:t>
      </w:r>
      <w:r w:rsidR="00234CE6">
        <w:rPr>
          <w:b w:val="0"/>
          <w:snapToGrid/>
          <w:u w:val="none"/>
        </w:rPr>
        <w:t>Sempra Energy</w:t>
      </w:r>
      <w:r w:rsidR="005255C3">
        <w:rPr>
          <w:b w:val="0"/>
          <w:snapToGrid/>
          <w:u w:val="none"/>
        </w:rPr>
        <w:t xml:space="preserve"> (“Sempra”)</w:t>
      </w:r>
      <w:r w:rsidR="009158C4">
        <w:rPr>
          <w:b w:val="0"/>
          <w:snapToGrid/>
          <w:u w:val="none"/>
        </w:rPr>
        <w:t>;</w:t>
      </w:r>
      <w:r w:rsidR="00234CE6">
        <w:rPr>
          <w:b w:val="0"/>
          <w:snapToGrid/>
          <w:u w:val="none"/>
        </w:rPr>
        <w:t xml:space="preserve"> Ultimate </w:t>
      </w:r>
      <w:r w:rsidR="009C297B">
        <w:rPr>
          <w:b w:val="0"/>
          <w:snapToGrid/>
          <w:u w:val="none"/>
        </w:rPr>
        <w:t>Kronos</w:t>
      </w:r>
      <w:r w:rsidR="00234CE6">
        <w:rPr>
          <w:b w:val="0"/>
          <w:snapToGrid/>
          <w:u w:val="none"/>
        </w:rPr>
        <w:t xml:space="preserve"> Group</w:t>
      </w:r>
      <w:r w:rsidR="009C297B">
        <w:rPr>
          <w:b w:val="0"/>
          <w:snapToGrid/>
          <w:u w:val="none"/>
        </w:rPr>
        <w:t xml:space="preserve"> Inc.</w:t>
      </w:r>
      <w:r w:rsidR="005255C3">
        <w:rPr>
          <w:b w:val="0"/>
          <w:snapToGrid/>
          <w:u w:val="none"/>
        </w:rPr>
        <w:t xml:space="preserve"> (“Ultimate”)</w:t>
      </w:r>
      <w:r w:rsidR="009158C4">
        <w:rPr>
          <w:b w:val="0"/>
          <w:snapToGrid/>
          <w:u w:val="none"/>
        </w:rPr>
        <w:t>;</w:t>
      </w:r>
      <w:r w:rsidR="00234CE6">
        <w:rPr>
          <w:b w:val="0"/>
          <w:snapToGrid/>
          <w:u w:val="none"/>
        </w:rPr>
        <w:t xml:space="preserve"> Veritas Technologies LLC</w:t>
      </w:r>
      <w:r w:rsidR="005255C3">
        <w:rPr>
          <w:b w:val="0"/>
          <w:snapToGrid/>
          <w:u w:val="none"/>
        </w:rPr>
        <w:t xml:space="preserve"> (“Veritas”)</w:t>
      </w:r>
      <w:r w:rsidR="009158C4">
        <w:rPr>
          <w:b w:val="0"/>
          <w:snapToGrid/>
          <w:u w:val="none"/>
        </w:rPr>
        <w:t>;</w:t>
      </w:r>
      <w:r w:rsidR="00234CE6">
        <w:rPr>
          <w:b w:val="0"/>
          <w:snapToGrid/>
          <w:u w:val="none"/>
        </w:rPr>
        <w:t xml:space="preserve"> Sharyland Utilities</w:t>
      </w:r>
      <w:r w:rsidR="008C0CB0">
        <w:rPr>
          <w:b w:val="0"/>
          <w:snapToGrid/>
          <w:u w:val="none"/>
        </w:rPr>
        <w:t>, L.L.C.</w:t>
      </w:r>
      <w:r w:rsidR="005255C3">
        <w:rPr>
          <w:b w:val="0"/>
          <w:snapToGrid/>
          <w:u w:val="none"/>
        </w:rPr>
        <w:t xml:space="preserve"> (“S</w:t>
      </w:r>
      <w:r w:rsidR="0061407B">
        <w:rPr>
          <w:b w:val="0"/>
          <w:snapToGrid/>
          <w:u w:val="none"/>
        </w:rPr>
        <w:t>haryland</w:t>
      </w:r>
      <w:r w:rsidR="005255C3">
        <w:rPr>
          <w:b w:val="0"/>
          <w:snapToGrid/>
          <w:u w:val="none"/>
        </w:rPr>
        <w:t>”)</w:t>
      </w:r>
      <w:r w:rsidR="009158C4">
        <w:rPr>
          <w:b w:val="0"/>
          <w:snapToGrid/>
          <w:u w:val="none"/>
        </w:rPr>
        <w:t>;</w:t>
      </w:r>
      <w:r w:rsidR="00234CE6">
        <w:rPr>
          <w:b w:val="0"/>
          <w:snapToGrid/>
          <w:u w:val="none"/>
        </w:rPr>
        <w:t xml:space="preserve"> Oncor Electric Delivery Co</w:t>
      </w:r>
      <w:r w:rsidR="008C0CB0">
        <w:rPr>
          <w:b w:val="0"/>
          <w:snapToGrid/>
          <w:u w:val="none"/>
        </w:rPr>
        <w:t>mpany</w:t>
      </w:r>
      <w:r w:rsidR="00234CE6">
        <w:rPr>
          <w:b w:val="0"/>
          <w:snapToGrid/>
          <w:u w:val="none"/>
        </w:rPr>
        <w:t xml:space="preserve"> NTU</w:t>
      </w:r>
      <w:r w:rsidR="005255C3">
        <w:rPr>
          <w:b w:val="0"/>
          <w:snapToGrid/>
          <w:u w:val="none"/>
        </w:rPr>
        <w:t xml:space="preserve"> </w:t>
      </w:r>
      <w:r w:rsidR="008C0CB0">
        <w:rPr>
          <w:b w:val="0"/>
          <w:snapToGrid/>
          <w:u w:val="none"/>
        </w:rPr>
        <w:t xml:space="preserve">LLC </w:t>
      </w:r>
      <w:r w:rsidR="005255C3">
        <w:rPr>
          <w:b w:val="0"/>
          <w:snapToGrid/>
          <w:u w:val="none"/>
        </w:rPr>
        <w:t>(“Oncor NTU”)</w:t>
      </w:r>
      <w:r w:rsidR="009158C4">
        <w:rPr>
          <w:b w:val="0"/>
          <w:snapToGrid/>
          <w:u w:val="none"/>
        </w:rPr>
        <w:t>;</w:t>
      </w:r>
      <w:r w:rsidR="00CF0FA6">
        <w:rPr>
          <w:b w:val="0"/>
          <w:snapToGrid/>
          <w:u w:val="none"/>
        </w:rPr>
        <w:t xml:space="preserve"> and Oncor Cares Foundation (“</w:t>
      </w:r>
      <w:r w:rsidR="0043411B">
        <w:rPr>
          <w:b w:val="0"/>
          <w:snapToGrid/>
          <w:u w:val="none"/>
        </w:rPr>
        <w:t>Foundation</w:t>
      </w:r>
      <w:r w:rsidR="00CF0FA6">
        <w:rPr>
          <w:b w:val="0"/>
          <w:snapToGrid/>
          <w:u w:val="none"/>
        </w:rPr>
        <w:t>”)</w:t>
      </w:r>
      <w:r w:rsidR="00234CE6">
        <w:rPr>
          <w:b w:val="0"/>
          <w:snapToGrid/>
          <w:u w:val="none"/>
        </w:rPr>
        <w:t xml:space="preserve">. </w:t>
      </w:r>
      <w:r w:rsidR="006606E8">
        <w:rPr>
          <w:b w:val="0"/>
          <w:snapToGrid/>
          <w:u w:val="none"/>
        </w:rPr>
        <w:t xml:space="preserve"> </w:t>
      </w:r>
      <w:r>
        <w:rPr>
          <w:b w:val="0"/>
          <w:szCs w:val="24"/>
          <w:u w:val="none"/>
        </w:rPr>
        <w:t xml:space="preserve">The </w:t>
      </w:r>
      <w:r w:rsidR="00DC5E44">
        <w:rPr>
          <w:b w:val="0"/>
          <w:szCs w:val="24"/>
          <w:u w:val="none"/>
        </w:rPr>
        <w:t xml:space="preserve">discussion </w:t>
      </w:r>
      <w:r>
        <w:rPr>
          <w:b w:val="0"/>
          <w:szCs w:val="24"/>
          <w:u w:val="none"/>
        </w:rPr>
        <w:t xml:space="preserve">below </w:t>
      </w:r>
      <w:r w:rsidR="00DC5E44">
        <w:rPr>
          <w:b w:val="0"/>
          <w:szCs w:val="24"/>
          <w:u w:val="none"/>
        </w:rPr>
        <w:t xml:space="preserve">describes </w:t>
      </w:r>
      <w:r w:rsidR="005255C3">
        <w:rPr>
          <w:b w:val="0"/>
          <w:szCs w:val="24"/>
          <w:u w:val="none"/>
        </w:rPr>
        <w:t>Oncor’s compliance with the statutory requirements</w:t>
      </w:r>
      <w:r w:rsidR="0061407B">
        <w:rPr>
          <w:b w:val="0"/>
          <w:szCs w:val="24"/>
          <w:u w:val="none"/>
        </w:rPr>
        <w:t xml:space="preserve"> </w:t>
      </w:r>
      <w:r w:rsidR="00AF6033">
        <w:rPr>
          <w:b w:val="0"/>
          <w:szCs w:val="24"/>
          <w:u w:val="none"/>
        </w:rPr>
        <w:t>for</w:t>
      </w:r>
      <w:r w:rsidR="005255C3">
        <w:rPr>
          <w:b w:val="0"/>
          <w:szCs w:val="24"/>
          <w:u w:val="none"/>
        </w:rPr>
        <w:t xml:space="preserve"> affiliate transactions.</w:t>
      </w:r>
    </w:p>
    <w:p w:rsidR="0048515A" w14:paraId="734DF6FB" w14:textId="77777777">
      <w:pPr>
        <w:pStyle w:val="Heading1"/>
        <w:rPr>
          <w:color w:val="auto"/>
          <w:shd w:val="clear" w:color="auto" w:fill="auto"/>
        </w:rPr>
      </w:pPr>
    </w:p>
    <w:p w:rsidR="00C21EDB" w:rsidRPr="00C21EDB" w:rsidP="00C21EDB" w14:paraId="5855DB28" w14:textId="77777777">
      <w:pPr>
        <w:rPr>
          <w:color w:val="auto"/>
          <w:shd w:val="clear" w:color="auto" w:fill="auto"/>
        </w:rPr>
      </w:pPr>
    </w:p>
    <w:p w:rsidR="00D1263B" w14:paraId="1108E31D" w14:textId="77777777">
      <w:pPr>
        <w:pStyle w:val="Heading1"/>
        <w:rPr>
          <w:color w:val="auto"/>
          <w:shd w:val="clear" w:color="auto" w:fill="auto"/>
        </w:rPr>
      </w:pPr>
      <w:r>
        <w:t>SERVICES PROVIDED AND BILLING PROCESS</w:t>
      </w:r>
    </w:p>
    <w:p w:rsidR="00D1263B" w14:paraId="1CFD809E" w14:textId="77777777">
      <w:pPr>
        <w:jc w:val="center"/>
        <w:rPr>
          <w:rFonts w:ascii="Arial" w:hAnsi="Arial"/>
          <w:color w:val="auto"/>
          <w:shd w:val="clear" w:color="auto" w:fill="auto"/>
        </w:rPr>
      </w:pPr>
    </w:p>
    <w:p w:rsidR="00D1263B" w:rsidRPr="00E841C6" w:rsidP="00DB6E76" w14:paraId="443BDFE6" w14:textId="1C696CBB">
      <w:pPr>
        <w:ind w:firstLine="720"/>
        <w:jc w:val="both"/>
        <w:rPr>
          <w:rFonts w:ascii="Arial" w:hAnsi="Arial"/>
          <w:color w:val="auto"/>
          <w:szCs w:val="24"/>
          <w:shd w:val="clear" w:color="auto" w:fill="auto"/>
        </w:rPr>
      </w:pPr>
      <w:r>
        <w:rPr>
          <w:rFonts w:ascii="Arial" w:hAnsi="Arial"/>
          <w:szCs w:val="24"/>
        </w:rPr>
        <w:t xml:space="preserve">As stated above, Oncor received services from </w:t>
      </w:r>
      <w:r w:rsidR="00CE1942">
        <w:rPr>
          <w:rFonts w:ascii="Arial" w:hAnsi="Arial"/>
          <w:szCs w:val="24"/>
        </w:rPr>
        <w:t xml:space="preserve">or made contributions to </w:t>
      </w:r>
      <w:r>
        <w:rPr>
          <w:rFonts w:ascii="Arial" w:hAnsi="Arial"/>
          <w:szCs w:val="24"/>
        </w:rPr>
        <w:t>affiliated entities</w:t>
      </w:r>
      <w:r w:rsidR="00CD22D3">
        <w:rPr>
          <w:rFonts w:ascii="Arial" w:hAnsi="Arial"/>
          <w:szCs w:val="24"/>
        </w:rPr>
        <w:t xml:space="preserve"> </w:t>
      </w:r>
      <w:r w:rsidR="00D01337">
        <w:rPr>
          <w:rFonts w:ascii="Arial" w:hAnsi="Arial"/>
          <w:szCs w:val="24"/>
        </w:rPr>
        <w:t>Sempra, Ultimate, Veritas, S</w:t>
      </w:r>
      <w:r w:rsidR="0061407B">
        <w:rPr>
          <w:rFonts w:ascii="Arial" w:hAnsi="Arial"/>
          <w:szCs w:val="24"/>
        </w:rPr>
        <w:t>haryland</w:t>
      </w:r>
      <w:r w:rsidR="00D01337">
        <w:rPr>
          <w:rFonts w:ascii="Arial" w:hAnsi="Arial"/>
          <w:szCs w:val="24"/>
        </w:rPr>
        <w:t>, Oncor</w:t>
      </w:r>
      <w:r w:rsidR="005255C3">
        <w:rPr>
          <w:rFonts w:ascii="Arial" w:hAnsi="Arial"/>
          <w:szCs w:val="24"/>
        </w:rPr>
        <w:t xml:space="preserve"> </w:t>
      </w:r>
      <w:r w:rsidR="00D01337">
        <w:rPr>
          <w:rFonts w:ascii="Arial" w:hAnsi="Arial"/>
          <w:szCs w:val="24"/>
        </w:rPr>
        <w:t>NTU</w:t>
      </w:r>
      <w:r w:rsidR="00CF0FA6">
        <w:rPr>
          <w:rFonts w:ascii="Arial" w:hAnsi="Arial"/>
          <w:szCs w:val="24"/>
        </w:rPr>
        <w:t xml:space="preserve">, and </w:t>
      </w:r>
      <w:r w:rsidR="0043411B">
        <w:rPr>
          <w:rFonts w:ascii="Arial" w:hAnsi="Arial"/>
          <w:szCs w:val="24"/>
        </w:rPr>
        <w:t>the Foundation</w:t>
      </w:r>
      <w:r w:rsidR="0012560D">
        <w:rPr>
          <w:rFonts w:ascii="Arial" w:hAnsi="Arial"/>
          <w:szCs w:val="24"/>
        </w:rPr>
        <w:t xml:space="preserve"> </w:t>
      </w:r>
      <w:r>
        <w:rPr>
          <w:rFonts w:ascii="Arial" w:hAnsi="Arial"/>
          <w:szCs w:val="24"/>
        </w:rPr>
        <w:t xml:space="preserve">during the Test </w:t>
      </w:r>
      <w:r w:rsidR="00001422">
        <w:rPr>
          <w:rFonts w:ascii="Arial" w:hAnsi="Arial"/>
          <w:szCs w:val="24"/>
        </w:rPr>
        <w:t>Y</w:t>
      </w:r>
      <w:r>
        <w:rPr>
          <w:rFonts w:ascii="Arial" w:hAnsi="Arial"/>
          <w:szCs w:val="24"/>
        </w:rPr>
        <w:t>ear</w:t>
      </w:r>
      <w:r w:rsidR="00CD22D3">
        <w:rPr>
          <w:rFonts w:ascii="Arial" w:hAnsi="Arial"/>
          <w:szCs w:val="24"/>
        </w:rPr>
        <w:t>.</w:t>
      </w:r>
      <w:r w:rsidR="00EF5797">
        <w:rPr>
          <w:rFonts w:ascii="Arial" w:hAnsi="Arial"/>
          <w:szCs w:val="24"/>
        </w:rPr>
        <w:t xml:space="preserve"> </w:t>
      </w:r>
      <w:r w:rsidR="008678EA">
        <w:rPr>
          <w:rFonts w:ascii="Arial" w:hAnsi="Arial"/>
          <w:szCs w:val="24"/>
        </w:rPr>
        <w:t xml:space="preserve"> </w:t>
      </w:r>
      <w:r w:rsidR="00EF5797">
        <w:rPr>
          <w:rFonts w:ascii="Arial" w:hAnsi="Arial"/>
          <w:szCs w:val="24"/>
        </w:rPr>
        <w:t>Oncor</w:t>
      </w:r>
      <w:r>
        <w:rPr>
          <w:rFonts w:ascii="Arial" w:hAnsi="Arial"/>
          <w:szCs w:val="24"/>
        </w:rPr>
        <w:t>’s Test Year</w:t>
      </w:r>
      <w:r w:rsidR="00EF5797">
        <w:rPr>
          <w:rFonts w:ascii="Arial" w:hAnsi="Arial"/>
          <w:szCs w:val="24"/>
        </w:rPr>
        <w:t xml:space="preserve"> affiliate expenses are presented by item or class of item as required by the Public Utility Commission of Texas’ </w:t>
      </w:r>
      <w:r w:rsidR="008C0CB0">
        <w:rPr>
          <w:rFonts w:ascii="Arial" w:hAnsi="Arial"/>
          <w:szCs w:val="24"/>
        </w:rPr>
        <w:t xml:space="preserve">(“Commission”) </w:t>
      </w:r>
      <w:r w:rsidR="00EF5797">
        <w:rPr>
          <w:rFonts w:ascii="Arial" w:hAnsi="Arial"/>
          <w:szCs w:val="24"/>
        </w:rPr>
        <w:t xml:space="preserve">Transmission &amp; Distribution </w:t>
      </w:r>
      <w:r w:rsidR="008C0CB0">
        <w:rPr>
          <w:rFonts w:ascii="Arial" w:hAnsi="Arial"/>
          <w:szCs w:val="24"/>
        </w:rPr>
        <w:t xml:space="preserve">(TDU) Investor-Owned Utilities Rate Filing Package for </w:t>
      </w:r>
      <w:r w:rsidR="00EF5797">
        <w:rPr>
          <w:rFonts w:ascii="Arial" w:hAnsi="Arial"/>
          <w:szCs w:val="24"/>
        </w:rPr>
        <w:t>Cost</w:t>
      </w:r>
      <w:r w:rsidR="008C0CB0">
        <w:rPr>
          <w:rFonts w:ascii="Arial" w:hAnsi="Arial"/>
          <w:szCs w:val="24"/>
        </w:rPr>
        <w:t>-</w:t>
      </w:r>
      <w:r w:rsidR="007F5092">
        <w:rPr>
          <w:rFonts w:ascii="Arial" w:hAnsi="Arial"/>
          <w:szCs w:val="24"/>
        </w:rPr>
        <w:t>of</w:t>
      </w:r>
      <w:r w:rsidR="008C0CB0">
        <w:rPr>
          <w:rFonts w:ascii="Arial" w:hAnsi="Arial"/>
          <w:szCs w:val="24"/>
        </w:rPr>
        <w:t>-</w:t>
      </w:r>
      <w:r w:rsidR="007F5092">
        <w:rPr>
          <w:rFonts w:ascii="Arial" w:hAnsi="Arial"/>
          <w:szCs w:val="24"/>
        </w:rPr>
        <w:t xml:space="preserve">Service </w:t>
      </w:r>
      <w:r w:rsidR="008C0CB0">
        <w:rPr>
          <w:rFonts w:ascii="Arial" w:hAnsi="Arial"/>
          <w:szCs w:val="24"/>
        </w:rPr>
        <w:t>Determination</w:t>
      </w:r>
      <w:r w:rsidR="00EF5797">
        <w:rPr>
          <w:rFonts w:ascii="Arial" w:hAnsi="Arial"/>
          <w:szCs w:val="24"/>
        </w:rPr>
        <w:t>.</w:t>
      </w:r>
      <w:r w:rsidR="001D0A8E">
        <w:rPr>
          <w:rFonts w:ascii="Arial" w:hAnsi="Arial"/>
          <w:szCs w:val="24"/>
        </w:rPr>
        <w:t xml:space="preserve">  Please see Schedules V-K-1, V-K-2, </w:t>
      </w:r>
      <w:r w:rsidR="00F43AD8">
        <w:rPr>
          <w:rFonts w:ascii="Arial" w:hAnsi="Arial"/>
          <w:szCs w:val="24"/>
        </w:rPr>
        <w:t xml:space="preserve">and </w:t>
      </w:r>
      <w:r w:rsidR="001D0A8E">
        <w:rPr>
          <w:rFonts w:ascii="Arial" w:hAnsi="Arial"/>
          <w:szCs w:val="24"/>
        </w:rPr>
        <w:t xml:space="preserve">V-K-12 of Oncor’s rate filing </w:t>
      </w:r>
      <w:r w:rsidR="008C0CB0">
        <w:rPr>
          <w:rFonts w:ascii="Arial" w:hAnsi="Arial"/>
          <w:szCs w:val="24"/>
        </w:rPr>
        <w:t xml:space="preserve">package (“RFP”) </w:t>
      </w:r>
      <w:r w:rsidR="001D0A8E">
        <w:rPr>
          <w:rFonts w:ascii="Arial" w:hAnsi="Arial"/>
          <w:szCs w:val="24"/>
        </w:rPr>
        <w:t xml:space="preserve">and Mr. </w:t>
      </w:r>
      <w:r w:rsidR="00D01337">
        <w:rPr>
          <w:rFonts w:ascii="Arial" w:hAnsi="Arial"/>
          <w:szCs w:val="24"/>
        </w:rPr>
        <w:t>Grable</w:t>
      </w:r>
      <w:r w:rsidR="001D0A8E">
        <w:rPr>
          <w:rFonts w:ascii="Arial" w:hAnsi="Arial"/>
          <w:szCs w:val="24"/>
        </w:rPr>
        <w:t>’s direct testimony for amounts billed from affiliates to Oncor by item or class of item.</w:t>
      </w:r>
      <w:r w:rsidR="00EF5797">
        <w:rPr>
          <w:rFonts w:ascii="Arial" w:hAnsi="Arial"/>
          <w:szCs w:val="24"/>
        </w:rPr>
        <w:t xml:space="preserve">  Oncor has defined and utilized </w:t>
      </w:r>
      <w:r w:rsidR="00D01337">
        <w:rPr>
          <w:rFonts w:ascii="Arial" w:hAnsi="Arial"/>
          <w:szCs w:val="24"/>
        </w:rPr>
        <w:t>f</w:t>
      </w:r>
      <w:r w:rsidR="009C297B">
        <w:rPr>
          <w:rFonts w:ascii="Arial" w:hAnsi="Arial"/>
          <w:szCs w:val="24"/>
        </w:rPr>
        <w:t>our</w:t>
      </w:r>
      <w:r w:rsidR="00E90A2D">
        <w:rPr>
          <w:rFonts w:ascii="Arial" w:hAnsi="Arial"/>
          <w:szCs w:val="24"/>
        </w:rPr>
        <w:t xml:space="preserve"> </w:t>
      </w:r>
      <w:r w:rsidR="00EF5797">
        <w:rPr>
          <w:rFonts w:ascii="Arial" w:hAnsi="Arial"/>
          <w:szCs w:val="24"/>
        </w:rPr>
        <w:t xml:space="preserve">classes of items.  </w:t>
      </w:r>
      <w:r w:rsidR="00105BA5">
        <w:rPr>
          <w:rFonts w:ascii="Arial" w:hAnsi="Arial"/>
          <w:szCs w:val="24"/>
        </w:rPr>
        <w:t>T</w:t>
      </w:r>
      <w:r w:rsidR="0012560D">
        <w:rPr>
          <w:rFonts w:ascii="Arial" w:hAnsi="Arial"/>
          <w:szCs w:val="24"/>
        </w:rPr>
        <w:t>hese classes of items have been broken down into</w:t>
      </w:r>
      <w:r w:rsidR="00105BA5">
        <w:rPr>
          <w:rFonts w:ascii="Arial" w:hAnsi="Arial"/>
          <w:szCs w:val="24"/>
        </w:rPr>
        <w:t xml:space="preserve"> nine</w:t>
      </w:r>
      <w:r w:rsidR="0012560D">
        <w:rPr>
          <w:rFonts w:ascii="Arial" w:hAnsi="Arial"/>
          <w:szCs w:val="24"/>
        </w:rPr>
        <w:t xml:space="preserve"> sub-classes of items to facilitate a more precise billing for these services. </w:t>
      </w:r>
      <w:r w:rsidR="008C0CB0">
        <w:rPr>
          <w:rFonts w:ascii="Arial" w:hAnsi="Arial"/>
          <w:szCs w:val="24"/>
        </w:rPr>
        <w:t xml:space="preserve"> </w:t>
      </w:r>
      <w:r w:rsidR="00D01337">
        <w:rPr>
          <w:rFonts w:ascii="Arial" w:hAnsi="Arial"/>
          <w:szCs w:val="24"/>
        </w:rPr>
        <w:t xml:space="preserve">Each </w:t>
      </w:r>
      <w:r w:rsidR="008C0CB0">
        <w:rPr>
          <w:rFonts w:ascii="Arial" w:hAnsi="Arial"/>
          <w:szCs w:val="24"/>
        </w:rPr>
        <w:t>s</w:t>
      </w:r>
      <w:r w:rsidR="0012560D">
        <w:rPr>
          <w:rFonts w:ascii="Arial" w:hAnsi="Arial"/>
          <w:szCs w:val="24"/>
        </w:rPr>
        <w:t>ub-</w:t>
      </w:r>
      <w:r w:rsidR="00EF5797">
        <w:rPr>
          <w:rFonts w:ascii="Arial" w:hAnsi="Arial"/>
          <w:szCs w:val="24"/>
        </w:rPr>
        <w:t>clas</w:t>
      </w:r>
      <w:r w:rsidRPr="00E841C6">
        <w:rPr>
          <w:rFonts w:ascii="Arial" w:hAnsi="Arial"/>
          <w:szCs w:val="24"/>
        </w:rPr>
        <w:t>s</w:t>
      </w:r>
      <w:r w:rsidR="00EF5797">
        <w:rPr>
          <w:rFonts w:ascii="Arial" w:hAnsi="Arial"/>
          <w:szCs w:val="24"/>
        </w:rPr>
        <w:t xml:space="preserve"> is</w:t>
      </w:r>
      <w:r w:rsidRPr="00E841C6">
        <w:rPr>
          <w:rFonts w:ascii="Arial" w:hAnsi="Arial"/>
          <w:szCs w:val="24"/>
        </w:rPr>
        <w:t xml:space="preserve"> de</w:t>
      </w:r>
      <w:r w:rsidR="00EF5797">
        <w:rPr>
          <w:rFonts w:ascii="Arial" w:hAnsi="Arial"/>
          <w:szCs w:val="24"/>
        </w:rPr>
        <w:t>fined in Schedule V-K-4 of Oncor’s</w:t>
      </w:r>
      <w:r w:rsidRPr="00E841C6">
        <w:rPr>
          <w:rFonts w:ascii="Arial" w:hAnsi="Arial"/>
          <w:szCs w:val="24"/>
        </w:rPr>
        <w:t xml:space="preserve"> </w:t>
      </w:r>
      <w:r w:rsidR="008C0CB0">
        <w:rPr>
          <w:rFonts w:ascii="Arial" w:hAnsi="Arial"/>
          <w:szCs w:val="24"/>
        </w:rPr>
        <w:t>RFP</w:t>
      </w:r>
      <w:r w:rsidRPr="00E841C6">
        <w:rPr>
          <w:rFonts w:ascii="Arial" w:hAnsi="Arial"/>
          <w:szCs w:val="24"/>
        </w:rPr>
        <w:t xml:space="preserve">.  The billing process for each of these </w:t>
      </w:r>
      <w:r w:rsidR="0012560D">
        <w:rPr>
          <w:rFonts w:ascii="Arial" w:hAnsi="Arial"/>
          <w:szCs w:val="24"/>
        </w:rPr>
        <w:t>sub-</w:t>
      </w:r>
      <w:r w:rsidR="00FB6505">
        <w:rPr>
          <w:rFonts w:ascii="Arial" w:hAnsi="Arial"/>
          <w:szCs w:val="24"/>
        </w:rPr>
        <w:t>classes</w:t>
      </w:r>
      <w:r w:rsidRPr="00E841C6">
        <w:rPr>
          <w:rFonts w:ascii="Arial" w:hAnsi="Arial"/>
          <w:szCs w:val="24"/>
        </w:rPr>
        <w:t xml:space="preserve"> is presented in Schedule V-K-9 of this </w:t>
      </w:r>
      <w:r w:rsidR="008C0CB0">
        <w:rPr>
          <w:rFonts w:ascii="Arial" w:hAnsi="Arial"/>
          <w:szCs w:val="24"/>
        </w:rPr>
        <w:t>RFP</w:t>
      </w:r>
      <w:r w:rsidRPr="00E841C6">
        <w:rPr>
          <w:rFonts w:ascii="Arial" w:hAnsi="Arial"/>
          <w:szCs w:val="24"/>
        </w:rPr>
        <w:t xml:space="preserve">.  The billing methodology for each of these </w:t>
      </w:r>
      <w:r w:rsidR="00FB6505">
        <w:rPr>
          <w:rFonts w:ascii="Arial" w:hAnsi="Arial"/>
          <w:szCs w:val="24"/>
        </w:rPr>
        <w:t>classes</w:t>
      </w:r>
      <w:r w:rsidRPr="00E841C6">
        <w:rPr>
          <w:rFonts w:ascii="Arial" w:hAnsi="Arial"/>
          <w:szCs w:val="24"/>
        </w:rPr>
        <w:t xml:space="preserve"> is presented in Schedule V-K-11 of this </w:t>
      </w:r>
      <w:r w:rsidR="008C0CB0">
        <w:rPr>
          <w:rFonts w:ascii="Arial" w:hAnsi="Arial"/>
          <w:szCs w:val="24"/>
        </w:rPr>
        <w:t>RFP</w:t>
      </w:r>
      <w:r w:rsidRPr="00E841C6">
        <w:rPr>
          <w:rFonts w:ascii="Arial" w:hAnsi="Arial"/>
          <w:szCs w:val="24"/>
        </w:rPr>
        <w:t xml:space="preserve">.  </w:t>
      </w:r>
      <w:r w:rsidRPr="004051D6">
        <w:rPr>
          <w:rFonts w:ascii="Arial" w:hAnsi="Arial"/>
          <w:szCs w:val="24"/>
        </w:rPr>
        <w:t xml:space="preserve">The amount billed to </w:t>
      </w:r>
      <w:r w:rsidRPr="004051D6" w:rsidR="0028668B">
        <w:rPr>
          <w:rFonts w:ascii="Arial" w:hAnsi="Arial"/>
          <w:szCs w:val="24"/>
        </w:rPr>
        <w:t>Oncor</w:t>
      </w:r>
      <w:r w:rsidRPr="004051D6" w:rsidR="00105BA5">
        <w:rPr>
          <w:rFonts w:ascii="Arial" w:hAnsi="Arial"/>
          <w:szCs w:val="24"/>
        </w:rPr>
        <w:t xml:space="preserve"> </w:t>
      </w:r>
      <w:r w:rsidRPr="004051D6" w:rsidR="00873214">
        <w:rPr>
          <w:rFonts w:ascii="Arial" w:hAnsi="Arial"/>
          <w:szCs w:val="24"/>
        </w:rPr>
        <w:t xml:space="preserve">for </w:t>
      </w:r>
      <w:r w:rsidRPr="004051D6" w:rsidR="00105BA5">
        <w:rPr>
          <w:rFonts w:ascii="Arial" w:hAnsi="Arial"/>
          <w:szCs w:val="24"/>
        </w:rPr>
        <w:t>each class of item</w:t>
      </w:r>
      <w:r w:rsidRPr="004051D6" w:rsidR="008C0CB0">
        <w:rPr>
          <w:rFonts w:ascii="Arial" w:hAnsi="Arial"/>
          <w:szCs w:val="24"/>
        </w:rPr>
        <w:t>s</w:t>
      </w:r>
      <w:r w:rsidRPr="004051D6" w:rsidR="0028668B">
        <w:rPr>
          <w:rFonts w:ascii="Arial" w:hAnsi="Arial"/>
          <w:szCs w:val="24"/>
        </w:rPr>
        <w:t xml:space="preserve"> </w:t>
      </w:r>
      <w:r w:rsidRPr="004051D6">
        <w:rPr>
          <w:rFonts w:ascii="Arial" w:hAnsi="Arial"/>
          <w:szCs w:val="24"/>
        </w:rPr>
        <w:t xml:space="preserve">is presented in Schedule V-K-12 of this </w:t>
      </w:r>
      <w:r w:rsidRPr="004051D6" w:rsidR="008C0CB0">
        <w:rPr>
          <w:rFonts w:ascii="Arial" w:hAnsi="Arial"/>
          <w:szCs w:val="24"/>
        </w:rPr>
        <w:t>RFP</w:t>
      </w:r>
      <w:r w:rsidRPr="004051D6">
        <w:rPr>
          <w:rFonts w:ascii="Arial" w:hAnsi="Arial"/>
          <w:szCs w:val="24"/>
        </w:rPr>
        <w:t>.</w:t>
      </w:r>
    </w:p>
    <w:p w:rsidR="00D1263B" w:rsidP="001D480B" w14:paraId="480964BA" w14:textId="77777777">
      <w:pPr>
        <w:ind w:firstLine="720"/>
        <w:jc w:val="both"/>
        <w:rPr>
          <w:rFonts w:ascii="Arial" w:hAnsi="Arial"/>
          <w:color w:val="auto"/>
          <w:shd w:val="clear" w:color="auto" w:fill="auto"/>
        </w:rPr>
      </w:pPr>
    </w:p>
    <w:p w:rsidR="00D1263B" w:rsidP="001D480B" w14:paraId="2B6A1C2C" w14:textId="474F7411">
      <w:pPr>
        <w:ind w:firstLine="720"/>
        <w:jc w:val="both"/>
        <w:rPr>
          <w:rFonts w:ascii="Arial" w:hAnsi="Arial"/>
          <w:color w:val="auto"/>
          <w:shd w:val="clear" w:color="auto" w:fill="auto"/>
        </w:rPr>
      </w:pPr>
      <w:r>
        <w:rPr>
          <w:rFonts w:ascii="Arial" w:hAnsi="Arial"/>
        </w:rPr>
        <w:t>Section 36.058 of the P</w:t>
      </w:r>
      <w:r w:rsidR="007B4C09">
        <w:rPr>
          <w:rFonts w:ascii="Arial" w:hAnsi="Arial"/>
        </w:rPr>
        <w:t>ublic Utility Regulatory Act</w:t>
      </w:r>
      <w:r>
        <w:rPr>
          <w:rStyle w:val="FootnoteReference"/>
          <w:rFonts w:ascii="Arial" w:hAnsi="Arial"/>
          <w:vertAlign w:val="superscript"/>
        </w:rPr>
        <w:footnoteReference w:id="2"/>
      </w:r>
      <w:r w:rsidR="004051D6">
        <w:rPr>
          <w:rFonts w:ascii="Arial" w:hAnsi="Arial"/>
        </w:rPr>
        <w:t xml:space="preserve"> </w:t>
      </w:r>
      <w:r>
        <w:rPr>
          <w:rFonts w:ascii="Arial" w:hAnsi="Arial"/>
        </w:rPr>
        <w:t xml:space="preserve">sets </w:t>
      </w:r>
      <w:r w:rsidR="00077536">
        <w:rPr>
          <w:rFonts w:ascii="Arial" w:hAnsi="Arial"/>
        </w:rPr>
        <w:t>fo</w:t>
      </w:r>
      <w:r w:rsidR="00DC5E44">
        <w:rPr>
          <w:rFonts w:ascii="Arial" w:hAnsi="Arial"/>
        </w:rPr>
        <w:t xml:space="preserve">rth </w:t>
      </w:r>
      <w:r>
        <w:rPr>
          <w:rFonts w:ascii="Arial" w:hAnsi="Arial"/>
        </w:rPr>
        <w:t xml:space="preserve">the standard to be applied by the Commission </w:t>
      </w:r>
      <w:r w:rsidR="00DC5E44">
        <w:rPr>
          <w:rFonts w:ascii="Arial" w:hAnsi="Arial"/>
        </w:rPr>
        <w:t>in evaluating affiliate transactions in rate proceedings</w:t>
      </w:r>
      <w:r>
        <w:rPr>
          <w:rFonts w:ascii="Arial" w:hAnsi="Arial"/>
        </w:rPr>
        <w:t xml:space="preserve">.  In summary, </w:t>
      </w:r>
      <w:r w:rsidR="00DC5E44">
        <w:rPr>
          <w:rFonts w:ascii="Arial" w:hAnsi="Arial"/>
        </w:rPr>
        <w:t xml:space="preserve">PURA </w:t>
      </w:r>
      <w:r w:rsidR="00AF6033">
        <w:rPr>
          <w:rFonts w:ascii="Arial" w:hAnsi="Arial" w:cs="Arial"/>
        </w:rPr>
        <w:t>§</w:t>
      </w:r>
      <w:r>
        <w:rPr>
          <w:rFonts w:ascii="Arial" w:hAnsi="Arial"/>
        </w:rPr>
        <w:t xml:space="preserve"> 36.058 requires that each item or class of items charged by an affiliate be found to be reasonable and necessary and not higher than </w:t>
      </w:r>
      <w:r w:rsidR="00AF6033">
        <w:rPr>
          <w:rFonts w:ascii="Arial" w:hAnsi="Arial"/>
        </w:rPr>
        <w:t xml:space="preserve">prices </w:t>
      </w:r>
      <w:r>
        <w:rPr>
          <w:rFonts w:ascii="Arial" w:hAnsi="Arial"/>
        </w:rPr>
        <w:t>charge</w:t>
      </w:r>
      <w:r w:rsidR="00AF6033">
        <w:rPr>
          <w:rFonts w:ascii="Arial" w:hAnsi="Arial"/>
        </w:rPr>
        <w:t>d</w:t>
      </w:r>
      <w:r>
        <w:rPr>
          <w:rFonts w:ascii="Arial" w:hAnsi="Arial"/>
        </w:rPr>
        <w:t xml:space="preserve"> to a third party or other affiliate for the same item or class of items.</w:t>
      </w:r>
      <w:r w:rsidR="00675746">
        <w:rPr>
          <w:rFonts w:ascii="Arial" w:hAnsi="Arial"/>
        </w:rPr>
        <w:t xml:space="preserve">  Additionally, PURA </w:t>
      </w:r>
      <w:r w:rsidR="00AF6033">
        <w:rPr>
          <w:rFonts w:ascii="Arial" w:hAnsi="Arial" w:cs="Arial"/>
        </w:rPr>
        <w:t>§</w:t>
      </w:r>
      <w:r w:rsidR="00675746">
        <w:rPr>
          <w:rFonts w:ascii="Arial" w:hAnsi="Arial"/>
        </w:rPr>
        <w:t xml:space="preserve"> 36.058(f) provides that if the regulatory authority finds that an affiliate expense for the test period is unreasonable, the regulatory authority shall determine the reasonable level of the expense and include that expense in determining the electric utility’s cost of service</w:t>
      </w:r>
      <w:r w:rsidR="00F468E8">
        <w:rPr>
          <w:rFonts w:ascii="Arial" w:hAnsi="Arial"/>
        </w:rPr>
        <w:t>.</w:t>
      </w:r>
    </w:p>
    <w:p w:rsidR="00D1263B" w14:paraId="20C78D57" w14:textId="77777777">
      <w:pPr>
        <w:jc w:val="both"/>
        <w:rPr>
          <w:rFonts w:ascii="Arial" w:hAnsi="Arial"/>
          <w:color w:val="auto"/>
          <w:shd w:val="clear" w:color="auto" w:fill="auto"/>
        </w:rPr>
      </w:pPr>
    </w:p>
    <w:p w:rsidR="00C21EDB" w14:paraId="70C562DF" w14:textId="77777777">
      <w:pPr>
        <w:jc w:val="both"/>
        <w:rPr>
          <w:rFonts w:ascii="Arial" w:hAnsi="Arial"/>
          <w:color w:val="auto"/>
          <w:shd w:val="clear" w:color="auto" w:fill="auto"/>
        </w:rPr>
      </w:pPr>
    </w:p>
    <w:p w:rsidR="00D1263B" w14:paraId="228615C7" w14:textId="77777777">
      <w:pPr>
        <w:pStyle w:val="Heading1"/>
        <w:rPr>
          <w:color w:val="auto"/>
          <w:shd w:val="clear" w:color="auto" w:fill="auto"/>
        </w:rPr>
      </w:pPr>
      <w:r>
        <w:t>“REASONABLENESS” CLAUSE OF THE AFFILIATE STANDARD</w:t>
      </w:r>
    </w:p>
    <w:p w:rsidR="00D1263B" w14:paraId="0CFE3E99" w14:textId="77777777">
      <w:pPr>
        <w:jc w:val="both"/>
        <w:rPr>
          <w:rFonts w:ascii="Arial" w:hAnsi="Arial"/>
          <w:color w:val="auto"/>
          <w:shd w:val="clear" w:color="auto" w:fill="auto"/>
        </w:rPr>
      </w:pPr>
    </w:p>
    <w:p w:rsidR="00D1263B" w:rsidP="001D480B" w14:paraId="10B43C1E" w14:textId="0C8ADAF7">
      <w:pPr>
        <w:ind w:firstLine="720"/>
        <w:jc w:val="both"/>
        <w:rPr>
          <w:rFonts w:ascii="Arial" w:hAnsi="Arial"/>
          <w:color w:val="auto"/>
          <w:shd w:val="clear" w:color="auto" w:fill="auto"/>
        </w:rPr>
      </w:pPr>
      <w:r>
        <w:rPr>
          <w:rFonts w:ascii="Arial" w:hAnsi="Arial"/>
        </w:rPr>
        <w:t xml:space="preserve">Schedule V-K-10 of this </w:t>
      </w:r>
      <w:r w:rsidR="00AF6033">
        <w:rPr>
          <w:rFonts w:ascii="Arial" w:hAnsi="Arial"/>
        </w:rPr>
        <w:t>RFP</w:t>
      </w:r>
      <w:r>
        <w:rPr>
          <w:rFonts w:ascii="Arial" w:hAnsi="Arial"/>
        </w:rPr>
        <w:t xml:space="preserve"> details the cost controls that </w:t>
      </w:r>
      <w:r w:rsidR="00DC5E44">
        <w:rPr>
          <w:rFonts w:ascii="Arial" w:hAnsi="Arial"/>
        </w:rPr>
        <w:t>we</w:t>
      </w:r>
      <w:r>
        <w:rPr>
          <w:rFonts w:ascii="Arial" w:hAnsi="Arial"/>
        </w:rPr>
        <w:t xml:space="preserve">re in place to assure the reasonableness of the </w:t>
      </w:r>
      <w:r w:rsidR="00DC5E44">
        <w:rPr>
          <w:rFonts w:ascii="Arial" w:hAnsi="Arial"/>
        </w:rPr>
        <w:t xml:space="preserve">costs of the affiliate </w:t>
      </w:r>
      <w:r>
        <w:rPr>
          <w:rFonts w:ascii="Arial" w:hAnsi="Arial"/>
        </w:rPr>
        <w:t>services provided by</w:t>
      </w:r>
      <w:r w:rsidR="00C864A9">
        <w:rPr>
          <w:rFonts w:ascii="Arial" w:hAnsi="Arial"/>
        </w:rPr>
        <w:t xml:space="preserve"> </w:t>
      </w:r>
      <w:r w:rsidR="009F6A77">
        <w:rPr>
          <w:rFonts w:ascii="Arial" w:hAnsi="Arial"/>
        </w:rPr>
        <w:t>Sempra, Ultimate, Veritas, S</w:t>
      </w:r>
      <w:r w:rsidR="001F42E6">
        <w:rPr>
          <w:rFonts w:ascii="Arial" w:hAnsi="Arial"/>
        </w:rPr>
        <w:t>haryland</w:t>
      </w:r>
      <w:r w:rsidR="009F6A77">
        <w:rPr>
          <w:rFonts w:ascii="Arial" w:hAnsi="Arial"/>
        </w:rPr>
        <w:t>,</w:t>
      </w:r>
      <w:r w:rsidR="00B609A4">
        <w:rPr>
          <w:rFonts w:ascii="Arial" w:hAnsi="Arial"/>
        </w:rPr>
        <w:t xml:space="preserve"> </w:t>
      </w:r>
      <w:r w:rsidR="00417D6F">
        <w:rPr>
          <w:rFonts w:ascii="Arial" w:hAnsi="Arial"/>
        </w:rPr>
        <w:t xml:space="preserve">Oncor </w:t>
      </w:r>
      <w:r w:rsidR="009F6A77">
        <w:rPr>
          <w:rFonts w:ascii="Arial" w:hAnsi="Arial"/>
        </w:rPr>
        <w:t>NTU</w:t>
      </w:r>
      <w:r w:rsidR="00417D6F">
        <w:rPr>
          <w:rFonts w:ascii="Arial" w:hAnsi="Arial"/>
        </w:rPr>
        <w:t xml:space="preserve">, and </w:t>
      </w:r>
      <w:r w:rsidR="0043411B">
        <w:rPr>
          <w:rFonts w:ascii="Arial" w:hAnsi="Arial"/>
        </w:rPr>
        <w:t>the Foundation</w:t>
      </w:r>
      <w:r w:rsidR="00B609A4">
        <w:rPr>
          <w:rFonts w:ascii="Arial" w:hAnsi="Arial"/>
        </w:rPr>
        <w:t>.</w:t>
      </w:r>
      <w:r w:rsidR="00F86D57">
        <w:rPr>
          <w:rFonts w:ascii="Arial" w:hAnsi="Arial"/>
        </w:rPr>
        <w:t xml:space="preserve"> </w:t>
      </w:r>
      <w:r w:rsidRPr="002C1A27" w:rsidR="007822AD">
        <w:rPr>
          <w:rFonts w:ascii="Arial" w:hAnsi="Arial"/>
        </w:rPr>
        <w:t>These cost controls include</w:t>
      </w:r>
      <w:r w:rsidR="00E97EA3">
        <w:rPr>
          <w:rFonts w:ascii="Arial" w:hAnsi="Arial"/>
        </w:rPr>
        <w:t>—to the extent applicable for each such affiliate—</w:t>
      </w:r>
      <w:r w:rsidRPr="002C1A27" w:rsidR="007822AD">
        <w:rPr>
          <w:rFonts w:ascii="Arial" w:hAnsi="Arial"/>
        </w:rPr>
        <w:t xml:space="preserve">the </w:t>
      </w:r>
      <w:r w:rsidRPr="00930D4B" w:rsidR="007822AD">
        <w:rPr>
          <w:rFonts w:ascii="Arial" w:hAnsi="Arial"/>
        </w:rPr>
        <w:t>budget process,</w:t>
      </w:r>
      <w:r w:rsidRPr="002C1A27" w:rsidR="007822AD">
        <w:rPr>
          <w:rFonts w:ascii="Arial" w:hAnsi="Arial"/>
        </w:rPr>
        <w:t xml:space="preserve"> </w:t>
      </w:r>
      <w:r w:rsidR="00205085">
        <w:rPr>
          <w:rFonts w:ascii="Arial" w:hAnsi="Arial"/>
        </w:rPr>
        <w:t>arm’s-length negotiations,</w:t>
      </w:r>
      <w:r w:rsidR="005255C3">
        <w:rPr>
          <w:rFonts w:ascii="Arial" w:hAnsi="Arial"/>
        </w:rPr>
        <w:t xml:space="preserve"> periodic</w:t>
      </w:r>
      <w:r w:rsidRPr="002C1A27" w:rsidR="007822AD">
        <w:rPr>
          <w:rFonts w:ascii="Arial" w:hAnsi="Arial"/>
        </w:rPr>
        <w:t xml:space="preserve"> variance analysis, </w:t>
      </w:r>
      <w:r w:rsidR="004C3265">
        <w:rPr>
          <w:rFonts w:ascii="Arial" w:hAnsi="Arial"/>
        </w:rPr>
        <w:t xml:space="preserve">contracts, agreements, Statements of Work, </w:t>
      </w:r>
      <w:r w:rsidR="009353A1">
        <w:rPr>
          <w:rFonts w:ascii="Arial" w:hAnsi="Arial"/>
        </w:rPr>
        <w:t xml:space="preserve">Commission-approved tariffs, and </w:t>
      </w:r>
      <w:r w:rsidR="0043411B">
        <w:rPr>
          <w:rFonts w:ascii="Arial" w:hAnsi="Arial"/>
        </w:rPr>
        <w:t>Oncor Senior Leadership approval</w:t>
      </w:r>
      <w:r w:rsidR="009353A1">
        <w:rPr>
          <w:rFonts w:ascii="Arial" w:hAnsi="Arial"/>
        </w:rPr>
        <w:t>.</w:t>
      </w:r>
    </w:p>
    <w:p w:rsidR="00D1263B" w14:paraId="6D72F7C7" w14:textId="77777777">
      <w:pPr>
        <w:jc w:val="both"/>
        <w:rPr>
          <w:rFonts w:ascii="Arial" w:hAnsi="Arial"/>
          <w:color w:val="auto"/>
          <w:shd w:val="clear" w:color="auto" w:fill="auto"/>
        </w:rPr>
      </w:pPr>
    </w:p>
    <w:p w:rsidR="00C21EDB" w14:paraId="42E5903A" w14:textId="77777777">
      <w:pPr>
        <w:jc w:val="both"/>
        <w:rPr>
          <w:rFonts w:ascii="Arial" w:hAnsi="Arial"/>
          <w:color w:val="auto"/>
          <w:shd w:val="clear" w:color="auto" w:fill="auto"/>
        </w:rPr>
      </w:pPr>
    </w:p>
    <w:p w:rsidR="00D1263B" w14:paraId="6E9885ED" w14:textId="77777777">
      <w:pPr>
        <w:pStyle w:val="Heading1"/>
        <w:rPr>
          <w:color w:val="auto"/>
          <w:shd w:val="clear" w:color="auto" w:fill="auto"/>
        </w:rPr>
      </w:pPr>
      <w:r>
        <w:t>“NECESSARY” CLAUSE OF THE AFFILIATE STANDARD</w:t>
      </w:r>
    </w:p>
    <w:p w:rsidR="00D1263B" w14:paraId="6C56C005" w14:textId="77777777">
      <w:pPr>
        <w:jc w:val="both"/>
        <w:rPr>
          <w:rFonts w:ascii="Arial" w:hAnsi="Arial"/>
          <w:color w:val="auto"/>
          <w:shd w:val="clear" w:color="auto" w:fill="auto"/>
        </w:rPr>
      </w:pPr>
    </w:p>
    <w:p w:rsidR="00D1263B" w:rsidP="001D480B" w14:paraId="57116172" w14:textId="6207F141">
      <w:pPr>
        <w:ind w:firstLine="720"/>
        <w:jc w:val="both"/>
        <w:rPr>
          <w:rFonts w:ascii="Arial" w:hAnsi="Arial"/>
          <w:color w:val="auto"/>
          <w:shd w:val="clear" w:color="auto" w:fill="auto"/>
        </w:rPr>
      </w:pPr>
      <w:r>
        <w:rPr>
          <w:rFonts w:ascii="Arial" w:hAnsi="Arial"/>
        </w:rPr>
        <w:t xml:space="preserve">The services provided by </w:t>
      </w:r>
      <w:r w:rsidR="009F6A77">
        <w:rPr>
          <w:rFonts w:ascii="Arial" w:hAnsi="Arial"/>
        </w:rPr>
        <w:t xml:space="preserve">Sempra, Ultimate, Veritas, </w:t>
      </w:r>
      <w:r w:rsidR="0061407B">
        <w:rPr>
          <w:rFonts w:ascii="Arial" w:hAnsi="Arial"/>
        </w:rPr>
        <w:t>Sharyland</w:t>
      </w:r>
      <w:r w:rsidR="009F6A77">
        <w:rPr>
          <w:rFonts w:ascii="Arial" w:hAnsi="Arial"/>
        </w:rPr>
        <w:t>,</w:t>
      </w:r>
      <w:r w:rsidR="00B609A4">
        <w:rPr>
          <w:rFonts w:ascii="Arial" w:hAnsi="Arial"/>
        </w:rPr>
        <w:t xml:space="preserve"> </w:t>
      </w:r>
      <w:r w:rsidR="005255C3">
        <w:rPr>
          <w:rFonts w:ascii="Arial" w:hAnsi="Arial"/>
        </w:rPr>
        <w:t xml:space="preserve">Oncor </w:t>
      </w:r>
      <w:r w:rsidR="0012560D">
        <w:rPr>
          <w:rFonts w:ascii="Arial" w:hAnsi="Arial"/>
        </w:rPr>
        <w:t>NTU</w:t>
      </w:r>
      <w:r w:rsidR="004B0D80">
        <w:rPr>
          <w:rFonts w:ascii="Arial" w:hAnsi="Arial"/>
        </w:rPr>
        <w:t xml:space="preserve"> and </w:t>
      </w:r>
      <w:r w:rsidR="0043411B">
        <w:rPr>
          <w:rFonts w:ascii="Arial" w:hAnsi="Arial"/>
        </w:rPr>
        <w:t>the Foundation</w:t>
      </w:r>
      <w:r w:rsidR="009F6A77">
        <w:rPr>
          <w:rFonts w:ascii="Arial" w:hAnsi="Arial"/>
        </w:rPr>
        <w:t xml:space="preserve"> </w:t>
      </w:r>
      <w:r>
        <w:rPr>
          <w:rFonts w:ascii="Arial" w:hAnsi="Arial"/>
        </w:rPr>
        <w:t>are the types of services that would be required of</w:t>
      </w:r>
      <w:r w:rsidR="0043411B">
        <w:rPr>
          <w:rFonts w:ascii="Arial" w:hAnsi="Arial"/>
        </w:rPr>
        <w:t xml:space="preserve"> </w:t>
      </w:r>
      <w:r w:rsidR="00A62B88">
        <w:rPr>
          <w:rFonts w:ascii="Arial" w:hAnsi="Arial"/>
        </w:rPr>
        <w:t>and/</w:t>
      </w:r>
      <w:r w:rsidR="0043411B">
        <w:rPr>
          <w:rFonts w:ascii="Arial" w:hAnsi="Arial"/>
        </w:rPr>
        <w:t xml:space="preserve">or </w:t>
      </w:r>
      <w:r w:rsidR="005A3E33">
        <w:rPr>
          <w:rFonts w:ascii="Arial" w:hAnsi="Arial"/>
        </w:rPr>
        <w:t xml:space="preserve">are </w:t>
      </w:r>
      <w:r w:rsidR="0043411B">
        <w:rPr>
          <w:rFonts w:ascii="Arial" w:hAnsi="Arial"/>
        </w:rPr>
        <w:t>appropriate for</w:t>
      </w:r>
      <w:r>
        <w:rPr>
          <w:rFonts w:ascii="Arial" w:hAnsi="Arial"/>
        </w:rPr>
        <w:t xml:space="preserve"> any</w:t>
      </w:r>
      <w:r w:rsidR="00105BA5">
        <w:rPr>
          <w:rFonts w:ascii="Arial" w:hAnsi="Arial"/>
        </w:rPr>
        <w:t xml:space="preserve"> </w:t>
      </w:r>
      <w:r w:rsidR="00C0323C">
        <w:rPr>
          <w:rFonts w:ascii="Arial" w:hAnsi="Arial"/>
        </w:rPr>
        <w:t>transmission and distribution</w:t>
      </w:r>
      <w:r w:rsidR="00105BA5">
        <w:rPr>
          <w:rFonts w:ascii="Arial" w:hAnsi="Arial"/>
        </w:rPr>
        <w:t xml:space="preserve"> utility in Texas</w:t>
      </w:r>
      <w:r>
        <w:rPr>
          <w:rFonts w:ascii="Arial" w:hAnsi="Arial"/>
        </w:rPr>
        <w:t xml:space="preserve"> and are therefore necessary. </w:t>
      </w:r>
      <w:r w:rsidR="00BE4B66">
        <w:rPr>
          <w:rFonts w:ascii="Arial" w:hAnsi="Arial"/>
        </w:rPr>
        <w:t>Oncor review</w:t>
      </w:r>
      <w:r w:rsidR="00C0323C">
        <w:rPr>
          <w:rFonts w:ascii="Arial" w:hAnsi="Arial"/>
        </w:rPr>
        <w:t>s</w:t>
      </w:r>
      <w:r w:rsidR="00105BA5">
        <w:rPr>
          <w:rFonts w:ascii="Arial" w:hAnsi="Arial"/>
        </w:rPr>
        <w:t xml:space="preserve"> the associated</w:t>
      </w:r>
      <w:r w:rsidR="00BE4B66">
        <w:rPr>
          <w:rFonts w:ascii="Arial" w:hAnsi="Arial"/>
        </w:rPr>
        <w:t xml:space="preserve"> </w:t>
      </w:r>
      <w:r w:rsidR="00105BA5">
        <w:rPr>
          <w:rFonts w:ascii="Arial" w:hAnsi="Arial"/>
        </w:rPr>
        <w:t>Service Agreement</w:t>
      </w:r>
      <w:r w:rsidR="001F42E6">
        <w:rPr>
          <w:rFonts w:ascii="Arial" w:hAnsi="Arial"/>
        </w:rPr>
        <w:t>s</w:t>
      </w:r>
      <w:r w:rsidR="00105BA5">
        <w:rPr>
          <w:rFonts w:ascii="Arial" w:hAnsi="Arial"/>
        </w:rPr>
        <w:t xml:space="preserve">, </w:t>
      </w:r>
      <w:r w:rsidR="00BE4B66">
        <w:rPr>
          <w:rFonts w:ascii="Arial" w:hAnsi="Arial"/>
        </w:rPr>
        <w:t>Statements of Work</w:t>
      </w:r>
      <w:r w:rsidR="00105BA5">
        <w:rPr>
          <w:rFonts w:ascii="Arial" w:hAnsi="Arial"/>
        </w:rPr>
        <w:t xml:space="preserve">, contracts, </w:t>
      </w:r>
      <w:r w:rsidR="000611C7">
        <w:rPr>
          <w:rFonts w:ascii="Arial" w:hAnsi="Arial"/>
        </w:rPr>
        <w:t xml:space="preserve">tariffs, and </w:t>
      </w:r>
      <w:r w:rsidR="0043411B">
        <w:rPr>
          <w:rFonts w:ascii="Arial" w:hAnsi="Arial"/>
        </w:rPr>
        <w:t>contributions</w:t>
      </w:r>
      <w:r w:rsidR="00BE4B66">
        <w:rPr>
          <w:rFonts w:ascii="Arial" w:hAnsi="Arial"/>
        </w:rPr>
        <w:t xml:space="preserve"> on</w:t>
      </w:r>
      <w:r w:rsidR="00581E2B">
        <w:rPr>
          <w:rFonts w:ascii="Arial" w:hAnsi="Arial"/>
        </w:rPr>
        <w:t>, at least,</w:t>
      </w:r>
      <w:r w:rsidR="00BE4B66">
        <w:rPr>
          <w:rFonts w:ascii="Arial" w:hAnsi="Arial"/>
        </w:rPr>
        <w:t xml:space="preserve"> an annual basis to ensure that the services contained within </w:t>
      </w:r>
      <w:r w:rsidR="00581E2B">
        <w:rPr>
          <w:rFonts w:ascii="Arial" w:hAnsi="Arial"/>
        </w:rPr>
        <w:t>each</w:t>
      </w:r>
      <w:r w:rsidR="00554E20">
        <w:rPr>
          <w:rFonts w:ascii="Arial" w:hAnsi="Arial"/>
        </w:rPr>
        <w:t xml:space="preserve"> </w:t>
      </w:r>
      <w:r w:rsidR="00BE4B66">
        <w:rPr>
          <w:rFonts w:ascii="Arial" w:hAnsi="Arial"/>
        </w:rPr>
        <w:t>are necessary to meet desired</w:t>
      </w:r>
      <w:r w:rsidR="00581E2B">
        <w:rPr>
          <w:rFonts w:ascii="Arial" w:hAnsi="Arial"/>
        </w:rPr>
        <w:t>/required</w:t>
      </w:r>
      <w:r w:rsidR="00BE4B66">
        <w:rPr>
          <w:rFonts w:ascii="Arial" w:hAnsi="Arial"/>
        </w:rPr>
        <w:t xml:space="preserve"> business objectives.</w:t>
      </w:r>
      <w:r>
        <w:rPr>
          <w:rFonts w:ascii="Arial" w:hAnsi="Arial"/>
        </w:rPr>
        <w:t xml:space="preserve"> </w:t>
      </w:r>
      <w:r w:rsidR="009F6A77">
        <w:rPr>
          <w:rFonts w:ascii="Arial" w:hAnsi="Arial"/>
        </w:rPr>
        <w:t xml:space="preserve"> </w:t>
      </w:r>
      <w:r>
        <w:rPr>
          <w:rFonts w:ascii="Arial" w:hAnsi="Arial"/>
        </w:rPr>
        <w:t xml:space="preserve">Each of the services provided is described in Schedule V-K-4 of this </w:t>
      </w:r>
      <w:r w:rsidR="00C0323C">
        <w:rPr>
          <w:rFonts w:ascii="Arial" w:hAnsi="Arial"/>
        </w:rPr>
        <w:t>RFP</w:t>
      </w:r>
      <w:r>
        <w:rPr>
          <w:rFonts w:ascii="Arial" w:hAnsi="Arial"/>
        </w:rPr>
        <w:t xml:space="preserve">. </w:t>
      </w:r>
    </w:p>
    <w:p w:rsidR="0028668B" w14:paraId="50D44654" w14:textId="77777777">
      <w:pPr>
        <w:jc w:val="both"/>
        <w:rPr>
          <w:rFonts w:ascii="Arial" w:hAnsi="Arial"/>
          <w:color w:val="auto"/>
          <w:shd w:val="clear" w:color="auto" w:fill="auto"/>
        </w:rPr>
      </w:pPr>
    </w:p>
    <w:p w:rsidR="00C21EDB" w14:paraId="7BDAE7DE" w14:textId="77777777">
      <w:pPr>
        <w:jc w:val="both"/>
        <w:rPr>
          <w:rFonts w:ascii="Arial" w:hAnsi="Arial"/>
          <w:color w:val="auto"/>
          <w:shd w:val="clear" w:color="auto" w:fill="auto"/>
        </w:rPr>
      </w:pPr>
    </w:p>
    <w:p w:rsidR="00D1263B" w14:paraId="7A9ADE47" w14:textId="61B00CDE">
      <w:pPr>
        <w:pStyle w:val="Heading1"/>
        <w:rPr>
          <w:color w:val="auto"/>
          <w:shd w:val="clear" w:color="auto" w:fill="auto"/>
        </w:rPr>
      </w:pPr>
      <w:r>
        <w:t>“NO</w:t>
      </w:r>
      <w:r w:rsidR="00AF6033">
        <w:t>-</w:t>
      </w:r>
      <w:r>
        <w:t>HIGHER</w:t>
      </w:r>
      <w:r w:rsidR="00AF6033">
        <w:t>-</w:t>
      </w:r>
      <w:r>
        <w:t>THAN” CLAUSE OF THE AFFILIATE STANDARD</w:t>
      </w:r>
    </w:p>
    <w:p w:rsidR="00D1263B" w14:paraId="224E3ADD" w14:textId="77777777">
      <w:pPr>
        <w:rPr>
          <w:rFonts w:ascii="Arial" w:hAnsi="Arial"/>
          <w:b/>
          <w:color w:val="auto"/>
          <w:u w:val="single"/>
          <w:shd w:val="clear" w:color="auto" w:fill="auto"/>
        </w:rPr>
      </w:pPr>
    </w:p>
    <w:p w:rsidR="00554E20" w:rsidP="0061407B" w14:paraId="3B9006D7" w14:textId="4F26AED6">
      <w:pPr>
        <w:ind w:firstLine="720"/>
        <w:jc w:val="both"/>
        <w:rPr>
          <w:rFonts w:ascii="Arial" w:hAnsi="Arial" w:cs="Arial"/>
          <w:color w:val="auto"/>
          <w:shd w:val="clear" w:color="auto" w:fill="auto"/>
        </w:rPr>
      </w:pPr>
      <w:r>
        <w:rPr>
          <w:rFonts w:ascii="Arial" w:hAnsi="Arial" w:cs="Arial"/>
        </w:rPr>
        <w:t>B</w:t>
      </w:r>
      <w:r w:rsidRPr="0061407B">
        <w:rPr>
          <w:rFonts w:ascii="Arial" w:hAnsi="Arial" w:cs="Arial"/>
        </w:rPr>
        <w:t>ecause Sempra does not bill any other entities for the same specific</w:t>
      </w:r>
      <w:r w:rsidR="00C0323C">
        <w:rPr>
          <w:rFonts w:ascii="Arial" w:hAnsi="Arial" w:cs="Arial"/>
        </w:rPr>
        <w:t>,</w:t>
      </w:r>
      <w:r w:rsidRPr="0061407B">
        <w:rPr>
          <w:rFonts w:ascii="Arial" w:hAnsi="Arial" w:cs="Arial"/>
        </w:rPr>
        <w:t xml:space="preserve"> </w:t>
      </w:r>
      <w:r w:rsidR="00C0323C">
        <w:rPr>
          <w:rFonts w:ascii="Arial" w:hAnsi="Arial" w:cs="Arial"/>
        </w:rPr>
        <w:t>limited set</w:t>
      </w:r>
      <w:r w:rsidRPr="0061407B">
        <w:rPr>
          <w:rFonts w:ascii="Arial" w:hAnsi="Arial" w:cs="Arial"/>
        </w:rPr>
        <w:t xml:space="preserve"> of tax services</w:t>
      </w:r>
      <w:r>
        <w:rPr>
          <w:rFonts w:ascii="Arial" w:hAnsi="Arial" w:cs="Arial"/>
        </w:rPr>
        <w:t xml:space="preserve"> </w:t>
      </w:r>
      <w:r w:rsidR="00C0323C">
        <w:rPr>
          <w:rFonts w:ascii="Arial" w:hAnsi="Arial" w:cs="Arial"/>
        </w:rPr>
        <w:t xml:space="preserve">for which </w:t>
      </w:r>
      <w:r>
        <w:rPr>
          <w:rFonts w:ascii="Arial" w:hAnsi="Arial" w:cs="Arial"/>
        </w:rPr>
        <w:t>it bills Oncor</w:t>
      </w:r>
      <w:r w:rsidRPr="0061407B">
        <w:rPr>
          <w:rFonts w:ascii="Arial" w:hAnsi="Arial" w:cs="Arial"/>
        </w:rPr>
        <w:t xml:space="preserve"> without also billing the</w:t>
      </w:r>
      <w:r w:rsidR="00C0323C">
        <w:rPr>
          <w:rFonts w:ascii="Arial" w:hAnsi="Arial" w:cs="Arial"/>
        </w:rPr>
        <w:t xml:space="preserve"> other entities</w:t>
      </w:r>
      <w:r w:rsidRPr="0061407B">
        <w:rPr>
          <w:rFonts w:ascii="Arial" w:hAnsi="Arial" w:cs="Arial"/>
        </w:rPr>
        <w:t xml:space="preserve"> for additional</w:t>
      </w:r>
      <w:r w:rsidR="00C0323C">
        <w:rPr>
          <w:rFonts w:ascii="Arial" w:hAnsi="Arial" w:cs="Arial"/>
        </w:rPr>
        <w:t>,</w:t>
      </w:r>
      <w:r w:rsidRPr="0061407B">
        <w:rPr>
          <w:rFonts w:ascii="Arial" w:hAnsi="Arial" w:cs="Arial"/>
        </w:rPr>
        <w:t xml:space="preserve"> more comprehensive tax services, the amounts charged by Sempra to Oncor for these tax services</w:t>
      </w:r>
      <w:r w:rsidR="002876EF">
        <w:rPr>
          <w:rFonts w:ascii="Arial" w:hAnsi="Arial" w:cs="Arial"/>
        </w:rPr>
        <w:t xml:space="preserve"> are unique</w:t>
      </w:r>
      <w:r w:rsidR="00C51A31">
        <w:rPr>
          <w:rFonts w:ascii="Arial" w:hAnsi="Arial" w:cs="Arial"/>
        </w:rPr>
        <w:t xml:space="preserve">.  Sempra has confirmed, however, that the amounts charged to Oncor </w:t>
      </w:r>
      <w:r w:rsidRPr="0061407B">
        <w:rPr>
          <w:rFonts w:ascii="Arial" w:hAnsi="Arial" w:cs="Arial"/>
        </w:rPr>
        <w:t xml:space="preserve">are no higher than the prices charged to other subsidiaries, divisions, or to other unaffiliated companies for </w:t>
      </w:r>
      <w:r w:rsidR="00C51A31">
        <w:rPr>
          <w:rFonts w:ascii="Arial" w:hAnsi="Arial" w:cs="Arial"/>
        </w:rPr>
        <w:t>similar</w:t>
      </w:r>
      <w:r w:rsidRPr="0061407B" w:rsidR="00C51A31">
        <w:rPr>
          <w:rFonts w:ascii="Arial" w:hAnsi="Arial" w:cs="Arial"/>
        </w:rPr>
        <w:t xml:space="preserve"> </w:t>
      </w:r>
      <w:r w:rsidRPr="0061407B">
        <w:rPr>
          <w:rFonts w:ascii="Arial" w:hAnsi="Arial" w:cs="Arial"/>
        </w:rPr>
        <w:t>item</w:t>
      </w:r>
      <w:r w:rsidR="00C51A31">
        <w:rPr>
          <w:rFonts w:ascii="Arial" w:hAnsi="Arial" w:cs="Arial"/>
        </w:rPr>
        <w:t>s</w:t>
      </w:r>
      <w:r w:rsidRPr="0061407B">
        <w:rPr>
          <w:rFonts w:ascii="Arial" w:hAnsi="Arial" w:cs="Arial"/>
        </w:rPr>
        <w:t xml:space="preserve"> or class</w:t>
      </w:r>
      <w:r w:rsidR="00C51A31">
        <w:rPr>
          <w:rFonts w:ascii="Arial" w:hAnsi="Arial" w:cs="Arial"/>
        </w:rPr>
        <w:t>es</w:t>
      </w:r>
      <w:r w:rsidRPr="0061407B">
        <w:rPr>
          <w:rFonts w:ascii="Arial" w:hAnsi="Arial" w:cs="Arial"/>
        </w:rPr>
        <w:t xml:space="preserve"> of items.</w:t>
      </w:r>
      <w:r>
        <w:rPr>
          <w:rFonts w:ascii="Arial" w:hAnsi="Arial" w:cs="Arial"/>
        </w:rPr>
        <w:t xml:space="preserve"> </w:t>
      </w:r>
    </w:p>
    <w:p w:rsidR="0061407B" w:rsidP="0061407B" w14:paraId="22A28200" w14:textId="77777777">
      <w:pPr>
        <w:ind w:firstLine="720"/>
        <w:jc w:val="both"/>
        <w:rPr>
          <w:rFonts w:ascii="Arial" w:hAnsi="Arial"/>
          <w:color w:val="auto"/>
          <w:shd w:val="clear" w:color="auto" w:fill="auto"/>
        </w:rPr>
      </w:pPr>
    </w:p>
    <w:p w:rsidR="004D5C3D" w:rsidP="0061407B" w14:paraId="2E34E782" w14:textId="05C09677">
      <w:pPr>
        <w:ind w:firstLine="720"/>
        <w:jc w:val="both"/>
        <w:rPr>
          <w:rFonts w:ascii="Arial" w:hAnsi="Arial"/>
          <w:color w:val="auto"/>
          <w:shd w:val="clear" w:color="auto" w:fill="auto"/>
        </w:rPr>
      </w:pPr>
      <w:r>
        <w:rPr>
          <w:rFonts w:ascii="Arial" w:hAnsi="Arial"/>
        </w:rPr>
        <w:t xml:space="preserve">The amounts billed to Oncor by Ultimate and Veritas were based on arm’s-length negotiated contracts, thereby reflecting a market rate for these services. </w:t>
      </w:r>
      <w:r w:rsidR="00C51A31">
        <w:rPr>
          <w:rFonts w:ascii="Arial" w:hAnsi="Arial"/>
        </w:rPr>
        <w:t xml:space="preserve"> </w:t>
      </w:r>
      <w:r>
        <w:rPr>
          <w:rFonts w:ascii="Arial" w:hAnsi="Arial"/>
        </w:rPr>
        <w:t xml:space="preserve">The transactions with Ultimate and Veritas </w:t>
      </w:r>
      <w:r>
        <w:rPr>
          <w:rFonts w:ascii="Arial" w:hAnsi="Arial"/>
        </w:rPr>
        <w:t xml:space="preserve">were entered into before Oncor knew of the </w:t>
      </w:r>
      <w:r>
        <w:rPr>
          <w:rFonts w:ascii="Arial" w:hAnsi="Arial"/>
        </w:rPr>
        <w:t>affiliate relationship with these entities. Given that Onco</w:t>
      </w:r>
      <w:r w:rsidR="00D33D10">
        <w:rPr>
          <w:rFonts w:ascii="Arial" w:hAnsi="Arial"/>
        </w:rPr>
        <w:t>r was not aware of an affiliate</w:t>
      </w:r>
      <w:r>
        <w:rPr>
          <w:rFonts w:ascii="Arial" w:hAnsi="Arial"/>
        </w:rPr>
        <w:t xml:space="preserve"> relationship at the time it entered into such transactions, there is no risk that the transactions would have occurred on any different terms than transactions with unaffiliated third parties. </w:t>
      </w:r>
      <w:r w:rsidR="00490EAC">
        <w:rPr>
          <w:rFonts w:ascii="Arial" w:hAnsi="Arial"/>
        </w:rPr>
        <w:t xml:space="preserve"> For the reasons explained in Mr. Grable’s direct testimony, however, Oncor has no visibility into the amounts that Ultimate and Veritas charge to third parties.</w:t>
      </w:r>
    </w:p>
    <w:p w:rsidR="004D5C3D" w:rsidP="0061407B" w14:paraId="3EA23B0C" w14:textId="77777777">
      <w:pPr>
        <w:ind w:firstLine="720"/>
        <w:jc w:val="both"/>
        <w:rPr>
          <w:rFonts w:ascii="Arial" w:hAnsi="Arial"/>
          <w:color w:val="auto"/>
          <w:shd w:val="clear" w:color="auto" w:fill="auto"/>
        </w:rPr>
      </w:pPr>
    </w:p>
    <w:p w:rsidR="009F6A77" w:rsidP="0061407B" w14:paraId="70C00683" w14:textId="7A3FE119">
      <w:pPr>
        <w:ind w:firstLine="720"/>
        <w:jc w:val="both"/>
        <w:rPr>
          <w:rFonts w:ascii="Arial" w:hAnsi="Arial"/>
          <w:color w:val="auto"/>
          <w:shd w:val="clear" w:color="auto" w:fill="auto"/>
        </w:rPr>
      </w:pPr>
      <w:r>
        <w:rPr>
          <w:rFonts w:ascii="Arial" w:hAnsi="Arial"/>
        </w:rPr>
        <w:t xml:space="preserve">Network Transmission Service provided to Oncor by Sharyland and </w:t>
      </w:r>
      <w:r w:rsidR="002876EF">
        <w:rPr>
          <w:rFonts w:ascii="Arial" w:hAnsi="Arial"/>
        </w:rPr>
        <w:t xml:space="preserve">Oncor </w:t>
      </w:r>
      <w:r>
        <w:rPr>
          <w:rFonts w:ascii="Arial" w:hAnsi="Arial"/>
        </w:rPr>
        <w:t xml:space="preserve">NTU and Wholesale Distribution Substation Service provided to Oncor by </w:t>
      </w:r>
      <w:r w:rsidR="002876EF">
        <w:rPr>
          <w:rFonts w:ascii="Arial" w:hAnsi="Arial"/>
        </w:rPr>
        <w:t xml:space="preserve">Oncor </w:t>
      </w:r>
      <w:r>
        <w:rPr>
          <w:rFonts w:ascii="Arial" w:hAnsi="Arial"/>
        </w:rPr>
        <w:t xml:space="preserve">NTU </w:t>
      </w:r>
      <w:r w:rsidR="00554E20">
        <w:rPr>
          <w:rFonts w:ascii="Arial" w:hAnsi="Arial"/>
        </w:rPr>
        <w:t xml:space="preserve">are </w:t>
      </w:r>
      <w:r>
        <w:rPr>
          <w:rFonts w:ascii="Arial" w:hAnsi="Arial"/>
        </w:rPr>
        <w:t xml:space="preserve">necessary for the ongoing operations of Oncor. The amounts billed to Oncor by these two entities were based on tariffs previously approved by the Commission; thus, Oncor paid the same rates that </w:t>
      </w:r>
      <w:r w:rsidR="00D33D10">
        <w:rPr>
          <w:rFonts w:ascii="Arial" w:hAnsi="Arial"/>
        </w:rPr>
        <w:t>all other distribution utilities</w:t>
      </w:r>
      <w:r>
        <w:rPr>
          <w:rFonts w:ascii="Arial" w:hAnsi="Arial"/>
        </w:rPr>
        <w:t xml:space="preserve"> would pay for these services.</w:t>
      </w:r>
    </w:p>
    <w:p w:rsidR="008063DA" w:rsidP="008063DA" w14:paraId="0B662FE8" w14:textId="6A4894F2">
      <w:pPr>
        <w:jc w:val="both"/>
        <w:rPr>
          <w:rFonts w:ascii="Arial" w:hAnsi="Arial"/>
          <w:color w:val="auto"/>
          <w:shd w:val="clear" w:color="auto" w:fill="auto"/>
        </w:rPr>
      </w:pPr>
    </w:p>
    <w:p w:rsidR="008063DA" w:rsidRPr="001F42E6" w:rsidP="004051D6" w14:paraId="7D86F48F" w14:textId="3C183453">
      <w:pPr>
        <w:ind w:firstLine="720"/>
        <w:jc w:val="both"/>
        <w:rPr>
          <w:rFonts w:ascii="Arial" w:hAnsi="Arial"/>
          <w:bCs/>
          <w:color w:val="auto"/>
          <w:shd w:val="clear" w:color="auto" w:fill="auto"/>
        </w:rPr>
      </w:pPr>
      <w:r>
        <w:rPr>
          <w:rFonts w:ascii="Arial" w:hAnsi="Arial"/>
          <w:bCs/>
        </w:rPr>
        <w:t xml:space="preserve">As discussed in Mr. Grable’s direct testimony, the amount Oncor contributes to the Foundation is </w:t>
      </w:r>
      <w:r w:rsidR="00A50C61">
        <w:rPr>
          <w:rFonts w:ascii="Arial" w:hAnsi="Arial"/>
          <w:bCs/>
        </w:rPr>
        <w:t xml:space="preserve">determined by Oncor’s Senior Leadership Team and is a component of Oncor’s total contributions.  Therefore, it is a component of Oncor’s total contributions </w:t>
      </w:r>
      <w:r w:rsidR="008678EA">
        <w:rPr>
          <w:rFonts w:ascii="Arial" w:hAnsi="Arial"/>
          <w:bCs/>
        </w:rPr>
        <w:t xml:space="preserve">and donations </w:t>
      </w:r>
      <w:r w:rsidR="00A50C61">
        <w:rPr>
          <w:rFonts w:ascii="Arial" w:hAnsi="Arial"/>
          <w:bCs/>
        </w:rPr>
        <w:t xml:space="preserve">subject to the three-tenths of 1.0% (0.3%) of the utility’s gross receipts limitation as expressed in </w:t>
      </w:r>
      <w:r w:rsidR="00C51A31">
        <w:rPr>
          <w:rFonts w:ascii="Arial" w:hAnsi="Arial"/>
          <w:bCs/>
        </w:rPr>
        <w:t>16 Tex. Admin. Code</w:t>
      </w:r>
      <w:r w:rsidR="00A50C61">
        <w:rPr>
          <w:rFonts w:ascii="Arial" w:hAnsi="Arial"/>
          <w:bCs/>
        </w:rPr>
        <w:t xml:space="preserve"> </w:t>
      </w:r>
      <w:r w:rsidR="00C51A31">
        <w:rPr>
          <w:rFonts w:ascii="Arial" w:hAnsi="Arial" w:cs="Arial"/>
          <w:bCs/>
        </w:rPr>
        <w:t>§</w:t>
      </w:r>
      <w:r w:rsidR="00C51A31">
        <w:rPr>
          <w:rFonts w:ascii="Arial" w:hAnsi="Arial"/>
          <w:bCs/>
        </w:rPr>
        <w:t xml:space="preserve"> </w:t>
      </w:r>
      <w:r w:rsidR="00A50C61">
        <w:rPr>
          <w:rFonts w:ascii="Arial" w:hAnsi="Arial"/>
          <w:bCs/>
        </w:rPr>
        <w:t>25.231(b)(1)(E).</w:t>
      </w:r>
    </w:p>
    <w:p w:rsidR="009F6A77" w:rsidP="0061407B" w14:paraId="11C6B08D" w14:textId="77777777">
      <w:pPr>
        <w:jc w:val="both"/>
        <w:rPr>
          <w:rFonts w:ascii="Arial" w:hAnsi="Arial"/>
          <w:b/>
          <w:color w:val="auto"/>
          <w:u w:val="single"/>
          <w:shd w:val="clear" w:color="auto" w:fill="auto"/>
        </w:rPr>
      </w:pPr>
    </w:p>
    <w:p w:rsidR="00D1263B" w14:paraId="0E6FC680" w14:textId="77777777">
      <w:pPr>
        <w:jc w:val="both"/>
        <w:rPr>
          <w:rFonts w:ascii="Arial" w:hAnsi="Arial"/>
          <w:color w:val="auto"/>
          <w:shd w:val="clear" w:color="auto" w:fill="auto"/>
        </w:rPr>
      </w:pPr>
    </w:p>
    <w:p w:rsidR="00D1263B" w14:paraId="711ED598" w14:textId="77777777">
      <w:pPr>
        <w:pStyle w:val="Heading1"/>
        <w:rPr>
          <w:color w:val="auto"/>
          <w:shd w:val="clear" w:color="auto" w:fill="auto"/>
        </w:rPr>
      </w:pPr>
      <w:r>
        <w:t>SUMMARY</w:t>
      </w:r>
    </w:p>
    <w:p w:rsidR="00D1263B" w14:paraId="46F511CB" w14:textId="77777777">
      <w:pPr>
        <w:jc w:val="both"/>
        <w:rPr>
          <w:rFonts w:ascii="Arial" w:hAnsi="Arial"/>
          <w:color w:val="auto"/>
          <w:shd w:val="clear" w:color="auto" w:fill="auto"/>
        </w:rPr>
      </w:pPr>
    </w:p>
    <w:p w:rsidR="00D1263B" w14:paraId="42B8700A" w14:textId="5713EA48">
      <w:pPr>
        <w:ind w:firstLine="720"/>
        <w:jc w:val="both"/>
        <w:rPr>
          <w:rFonts w:ascii="Arial" w:hAnsi="Arial"/>
          <w:color w:val="auto"/>
          <w:shd w:val="clear" w:color="auto" w:fill="auto"/>
        </w:rPr>
      </w:pPr>
      <w:r>
        <w:rPr>
          <w:rFonts w:ascii="Arial" w:hAnsi="Arial"/>
        </w:rPr>
        <w:t>After known and measurable adjustments are made, t</w:t>
      </w:r>
      <w:r>
        <w:rPr>
          <w:rFonts w:ascii="Arial" w:hAnsi="Arial"/>
        </w:rPr>
        <w:t xml:space="preserve">he </w:t>
      </w:r>
      <w:r>
        <w:rPr>
          <w:rFonts w:ascii="Arial" w:hAnsi="Arial"/>
        </w:rPr>
        <w:t>affiliate charges billed to Oncor</w:t>
      </w:r>
      <w:r>
        <w:rPr>
          <w:rFonts w:ascii="Arial" w:hAnsi="Arial"/>
        </w:rPr>
        <w:t xml:space="preserve"> by</w:t>
      </w:r>
      <w:r w:rsidR="009F6A77">
        <w:rPr>
          <w:rFonts w:ascii="Arial" w:hAnsi="Arial"/>
        </w:rPr>
        <w:t xml:space="preserve"> Sempra, Ultimate, Veritas, S</w:t>
      </w:r>
      <w:r w:rsidR="0061407B">
        <w:rPr>
          <w:rFonts w:ascii="Arial" w:hAnsi="Arial"/>
        </w:rPr>
        <w:t>haryland</w:t>
      </w:r>
      <w:r w:rsidR="009F6A77">
        <w:rPr>
          <w:rFonts w:ascii="Arial" w:hAnsi="Arial"/>
        </w:rPr>
        <w:t xml:space="preserve">, </w:t>
      </w:r>
      <w:r w:rsidR="00CE1942">
        <w:rPr>
          <w:rFonts w:ascii="Arial" w:hAnsi="Arial"/>
        </w:rPr>
        <w:t xml:space="preserve">and </w:t>
      </w:r>
      <w:r w:rsidR="00417D6F">
        <w:rPr>
          <w:rFonts w:ascii="Arial" w:hAnsi="Arial"/>
        </w:rPr>
        <w:t xml:space="preserve">Oncor </w:t>
      </w:r>
      <w:r w:rsidR="009F6A77">
        <w:rPr>
          <w:rFonts w:ascii="Arial" w:hAnsi="Arial"/>
        </w:rPr>
        <w:t>NTU</w:t>
      </w:r>
      <w:r w:rsidR="00417D6F">
        <w:rPr>
          <w:rFonts w:ascii="Arial" w:hAnsi="Arial"/>
        </w:rPr>
        <w:t xml:space="preserve">, and </w:t>
      </w:r>
      <w:r w:rsidR="00CE1942">
        <w:rPr>
          <w:rFonts w:ascii="Arial" w:hAnsi="Arial"/>
        </w:rPr>
        <w:t xml:space="preserve">the amounts contributed by Oncor to </w:t>
      </w:r>
      <w:r w:rsidR="005A2C36">
        <w:rPr>
          <w:rFonts w:ascii="Arial" w:hAnsi="Arial"/>
        </w:rPr>
        <w:t>the Foundation</w:t>
      </w:r>
      <w:r w:rsidR="00F56730">
        <w:rPr>
          <w:rFonts w:ascii="Arial" w:hAnsi="Arial"/>
        </w:rPr>
        <w:t xml:space="preserve"> </w:t>
      </w:r>
      <w:r>
        <w:rPr>
          <w:rFonts w:ascii="Arial" w:hAnsi="Arial"/>
        </w:rPr>
        <w:t xml:space="preserve">during the </w:t>
      </w:r>
      <w:r w:rsidR="00DC5E44">
        <w:rPr>
          <w:rFonts w:ascii="Arial" w:hAnsi="Arial"/>
        </w:rPr>
        <w:t>Test Y</w:t>
      </w:r>
      <w:r>
        <w:rPr>
          <w:rFonts w:ascii="Arial" w:hAnsi="Arial"/>
        </w:rPr>
        <w:t>ear - both in total and for each class of items -</w:t>
      </w:r>
      <w:r w:rsidR="007B3E25">
        <w:rPr>
          <w:rFonts w:ascii="Arial" w:hAnsi="Arial"/>
        </w:rPr>
        <w:t xml:space="preserve"> </w:t>
      </w:r>
      <w:r w:rsidR="00CB08B8">
        <w:rPr>
          <w:rFonts w:ascii="Arial" w:hAnsi="Arial"/>
        </w:rPr>
        <w:t>a</w:t>
      </w:r>
      <w:r w:rsidR="007B3E25">
        <w:rPr>
          <w:rFonts w:ascii="Arial" w:hAnsi="Arial"/>
        </w:rPr>
        <w:t>re reasonable and necessary,</w:t>
      </w:r>
      <w:r>
        <w:rPr>
          <w:rFonts w:ascii="Arial" w:hAnsi="Arial"/>
        </w:rPr>
        <w:t xml:space="preserve"> reasonably reflect the actual cost of services to </w:t>
      </w:r>
      <w:r w:rsidR="0028668B">
        <w:rPr>
          <w:rFonts w:ascii="Arial" w:hAnsi="Arial"/>
        </w:rPr>
        <w:t>Oncor</w:t>
      </w:r>
      <w:r w:rsidR="007B3E25">
        <w:rPr>
          <w:rFonts w:ascii="Arial" w:hAnsi="Arial"/>
        </w:rPr>
        <w:t>,</w:t>
      </w:r>
      <w:r w:rsidR="00D744F6">
        <w:rPr>
          <w:rFonts w:ascii="Arial" w:hAnsi="Arial"/>
        </w:rPr>
        <w:t xml:space="preserve"> </w:t>
      </w:r>
      <w:r>
        <w:rPr>
          <w:rFonts w:ascii="Arial" w:hAnsi="Arial"/>
        </w:rPr>
        <w:t>and</w:t>
      </w:r>
      <w:r>
        <w:rPr>
          <w:rFonts w:ascii="Arial" w:hAnsi="Arial"/>
        </w:rPr>
        <w:t xml:space="preserve"> should be included in Oncor’s cost of service</w:t>
      </w:r>
      <w:r>
        <w:rPr>
          <w:rFonts w:ascii="Arial" w:hAnsi="Arial"/>
        </w:rPr>
        <w:t xml:space="preserve">.  </w:t>
      </w:r>
    </w:p>
    <w:sectPr w:rsidSect="00033228">
      <w:headerReference w:type="default" r:id="rId5"/>
      <w:endnotePr>
        <w:numFmt w:val="decimal"/>
      </w:endnotePr>
      <w:pgSz w:w="12240" w:h="15840"/>
      <w:pgMar w:top="1440" w:right="1296" w:bottom="1728" w:left="2160" w:header="1440" w:footer="144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1703A4" w14:paraId="5F71522A" w14:textId="77777777">
      <w:r>
        <w:separator/>
      </w:r>
    </w:p>
  </w:footnote>
  <w:footnote w:type="continuationSeparator" w:id="1">
    <w:p w:rsidR="001703A4" w14:paraId="14BDAD71" w14:textId="77777777">
      <w:r>
        <w:continuationSeparator/>
      </w:r>
    </w:p>
  </w:footnote>
  <w:footnote w:id="2">
    <w:p w:rsidR="00E97EA3" w:rsidRPr="00490EAC" w:rsidP="00E97EA3" w14:paraId="6617295D" w14:textId="61E441E0">
      <w:pPr>
        <w:pStyle w:val="FootnoteText"/>
        <w:spacing w:after="120"/>
        <w:ind w:firstLine="720"/>
        <w:jc w:val="both"/>
        <w:rPr>
          <w:rFonts w:ascii="Arial" w:hAnsi="Arial" w:cs="Arial"/>
          <w:color w:val="auto"/>
          <w:shd w:val="clear" w:color="auto" w:fill="auto"/>
        </w:rPr>
      </w:pPr>
      <w:r w:rsidRPr="00490EAC">
        <w:rPr>
          <w:rStyle w:val="FootnoteReference"/>
          <w:rFonts w:ascii="Arial" w:hAnsi="Arial" w:cs="Arial"/>
          <w:vertAlign w:val="superscript"/>
        </w:rPr>
        <w:footnoteRef/>
      </w:r>
      <w:r w:rsidRPr="00490EAC">
        <w:rPr>
          <w:rFonts w:ascii="Arial" w:hAnsi="Arial" w:cs="Arial"/>
          <w:vertAlign w:val="superscript"/>
        </w:rPr>
        <w:t xml:space="preserve"> </w:t>
      </w:r>
      <w:r w:rsidRPr="00490EAC">
        <w:rPr>
          <w:rFonts w:ascii="Arial" w:hAnsi="Arial" w:cs="Arial"/>
        </w:rPr>
        <w:t>Public Utility Regulatory Act, Tex. Util. Code Ann. §§ 11.001-66.016 (“PURA”).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71744" w:rsidP="00FA510F" w14:paraId="343E99A5" w14:textId="77777777">
    <w:pPr>
      <w:pStyle w:val="Header"/>
      <w:tabs>
        <w:tab w:val="left" w:pos="195"/>
      </w:tabs>
      <w:rPr>
        <w:rFonts w:ascii="Arial" w:hAnsi="Arial"/>
        <w:b/>
        <w:color w:val="auto"/>
        <w:shd w:val="clear" w:color="auto" w:fill="auto"/>
      </w:rPr>
    </w:pPr>
    <w:r>
      <w:rPr>
        <w:rFonts w:ascii="Arial" w:hAnsi="Arial"/>
        <w:b/>
      </w:rPr>
      <w:tab/>
    </w:r>
    <w:r>
      <w:rPr>
        <w:rFonts w:ascii="Arial" w:hAnsi="Arial"/>
        <w:b/>
      </w:rPr>
      <w:tab/>
    </w:r>
    <w:r w:rsidR="003067A2">
      <w:rPr>
        <w:rFonts w:ascii="Arial" w:hAnsi="Arial"/>
        <w:b/>
      </w:rPr>
      <w:tab/>
    </w:r>
    <w:r>
      <w:rPr>
        <w:rFonts w:ascii="Arial" w:hAnsi="Arial"/>
        <w:b/>
      </w:rPr>
      <w:t>Schedule V-K-7</w:t>
    </w:r>
  </w:p>
  <w:p w:rsidR="00171744" w:rsidRPr="00D1263B" w:rsidP="00FA510F" w14:paraId="60992A5A" w14:textId="55B7CC92">
    <w:pPr>
      <w:pStyle w:val="Header"/>
      <w:tabs>
        <w:tab w:val="left" w:pos="270"/>
      </w:tabs>
      <w:rPr>
        <w:rFonts w:ascii="Arial" w:hAnsi="Arial" w:cs="Arial"/>
        <w:b/>
        <w:color w:val="auto"/>
        <w:shd w:val="clear" w:color="auto" w:fill="auto"/>
      </w:rPr>
    </w:pPr>
    <w:r>
      <w:rPr>
        <w:rStyle w:val="PageNumber"/>
        <w:rFonts w:ascii="Arial" w:hAnsi="Arial" w:cs="Arial"/>
        <w:b/>
      </w:rPr>
      <w:tab/>
    </w:r>
    <w:r>
      <w:rPr>
        <w:rStyle w:val="PageNumber"/>
        <w:rFonts w:ascii="Arial" w:hAnsi="Arial" w:cs="Arial"/>
        <w:b/>
      </w:rPr>
      <w:tab/>
    </w:r>
    <w:r>
      <w:rPr>
        <w:rStyle w:val="PageNumber"/>
        <w:rFonts w:ascii="Arial" w:hAnsi="Arial" w:cs="Arial"/>
        <w:b/>
      </w:rPr>
      <w:tab/>
    </w:r>
    <w:r w:rsidRPr="00D1263B">
      <w:rPr>
        <w:rStyle w:val="PageNumber"/>
        <w:rFonts w:ascii="Arial" w:hAnsi="Arial" w:cs="Arial"/>
        <w:b/>
      </w:rPr>
      <w:t xml:space="preserve">Page </w:t>
    </w:r>
    <w:r w:rsidRPr="00D1263B" w:rsidR="00D25722">
      <w:rPr>
        <w:rStyle w:val="PageNumber"/>
        <w:rFonts w:ascii="Arial" w:hAnsi="Arial" w:cs="Arial"/>
        <w:b/>
      </w:rPr>
      <w:fldChar w:fldCharType="begin"/>
    </w:r>
    <w:r w:rsidRPr="00D1263B">
      <w:rPr>
        <w:rStyle w:val="PageNumber"/>
        <w:rFonts w:ascii="Arial" w:hAnsi="Arial" w:cs="Arial"/>
        <w:b/>
      </w:rPr>
      <w:instrText xml:space="preserve"> PAGE </w:instrText>
    </w:r>
    <w:r w:rsidRPr="00D1263B" w:rsidR="00D25722">
      <w:rPr>
        <w:rStyle w:val="PageNumber"/>
        <w:rFonts w:ascii="Arial" w:hAnsi="Arial" w:cs="Arial"/>
        <w:b/>
      </w:rPr>
      <w:fldChar w:fldCharType="separate"/>
    </w:r>
    <w:r w:rsidR="00D33D10">
      <w:rPr>
        <w:rStyle w:val="PageNumber"/>
        <w:rFonts w:ascii="Arial" w:hAnsi="Arial" w:cs="Arial"/>
        <w:b/>
        <w:noProof/>
      </w:rPr>
      <w:t>1</w:t>
    </w:r>
    <w:r w:rsidRPr="00D1263B" w:rsidR="00D25722">
      <w:rPr>
        <w:rStyle w:val="PageNumber"/>
        <w:rFonts w:ascii="Arial" w:hAnsi="Arial" w:cs="Arial"/>
        <w:b/>
      </w:rPr>
      <w:fldChar w:fldCharType="end"/>
    </w:r>
    <w:r w:rsidRPr="00D1263B">
      <w:rPr>
        <w:rStyle w:val="PageNumber"/>
        <w:rFonts w:ascii="Arial" w:hAnsi="Arial" w:cs="Arial"/>
        <w:b/>
      </w:rPr>
      <w:t xml:space="preserve"> of </w:t>
    </w:r>
    <w:r w:rsidR="00B609A4">
      <w:rPr>
        <w:rStyle w:val="PageNumber"/>
        <w:rFonts w:ascii="Arial" w:hAnsi="Arial" w:cs="Arial"/>
        <w:b/>
      </w:rPr>
      <w:t>3</w:t>
    </w:r>
  </w:p>
  <w:p w:rsidR="00171744" w14:paraId="6EFAAF9C" w14:textId="77777777">
    <w:pPr>
      <w:pStyle w:val="Header"/>
      <w:jc w:val="right"/>
      <w:rPr>
        <w:rFonts w:ascii="Arial" w:hAnsi="Arial"/>
        <w:b/>
        <w:color w:val="auto"/>
        <w:shd w:val="clear" w:color="auto" w:fill="auto"/>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0"/>
    <w:footnote w:id="1"/>
  </w:footnotePr>
  <w:endnotePr>
    <w:numFmt w:val="decimal"/>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2AD"/>
    <w:rsid w:val="00001422"/>
    <w:rsid w:val="00002002"/>
    <w:rsid w:val="000076DB"/>
    <w:rsid w:val="00012D46"/>
    <w:rsid w:val="000153C4"/>
    <w:rsid w:val="00023AAF"/>
    <w:rsid w:val="00033228"/>
    <w:rsid w:val="000611C7"/>
    <w:rsid w:val="00061DCA"/>
    <w:rsid w:val="00077536"/>
    <w:rsid w:val="000850B7"/>
    <w:rsid w:val="00085D5C"/>
    <w:rsid w:val="000968EA"/>
    <w:rsid w:val="000C03CB"/>
    <w:rsid w:val="000E2044"/>
    <w:rsid w:val="000E44FF"/>
    <w:rsid w:val="000F32D1"/>
    <w:rsid w:val="000F6A5C"/>
    <w:rsid w:val="000F6D98"/>
    <w:rsid w:val="00105BA5"/>
    <w:rsid w:val="001226A1"/>
    <w:rsid w:val="0012560D"/>
    <w:rsid w:val="00131948"/>
    <w:rsid w:val="001445F3"/>
    <w:rsid w:val="001647F7"/>
    <w:rsid w:val="00166EB2"/>
    <w:rsid w:val="001703A4"/>
    <w:rsid w:val="00171744"/>
    <w:rsid w:val="00184A33"/>
    <w:rsid w:val="001A6AF4"/>
    <w:rsid w:val="001B328C"/>
    <w:rsid w:val="001D0A8E"/>
    <w:rsid w:val="001D480B"/>
    <w:rsid w:val="001E5999"/>
    <w:rsid w:val="001F42E6"/>
    <w:rsid w:val="00205085"/>
    <w:rsid w:val="0021577A"/>
    <w:rsid w:val="00216E49"/>
    <w:rsid w:val="002234B5"/>
    <w:rsid w:val="00224069"/>
    <w:rsid w:val="00234CE6"/>
    <w:rsid w:val="002527FA"/>
    <w:rsid w:val="002838C7"/>
    <w:rsid w:val="0028668B"/>
    <w:rsid w:val="002876EF"/>
    <w:rsid w:val="00291C05"/>
    <w:rsid w:val="00293CD7"/>
    <w:rsid w:val="00294AED"/>
    <w:rsid w:val="002C1A27"/>
    <w:rsid w:val="002D1B82"/>
    <w:rsid w:val="002D62A2"/>
    <w:rsid w:val="002E0C2A"/>
    <w:rsid w:val="002E7C84"/>
    <w:rsid w:val="002F48E9"/>
    <w:rsid w:val="003067A2"/>
    <w:rsid w:val="00314CE1"/>
    <w:rsid w:val="0031656A"/>
    <w:rsid w:val="00335FF7"/>
    <w:rsid w:val="00336AC7"/>
    <w:rsid w:val="00344A7F"/>
    <w:rsid w:val="00357739"/>
    <w:rsid w:val="003623F5"/>
    <w:rsid w:val="00375C3B"/>
    <w:rsid w:val="00395DE3"/>
    <w:rsid w:val="003A1429"/>
    <w:rsid w:val="003B1DC0"/>
    <w:rsid w:val="003C4558"/>
    <w:rsid w:val="003F1B0E"/>
    <w:rsid w:val="003F1BE8"/>
    <w:rsid w:val="00400A1D"/>
    <w:rsid w:val="004040F5"/>
    <w:rsid w:val="004051D6"/>
    <w:rsid w:val="00405562"/>
    <w:rsid w:val="00417D6F"/>
    <w:rsid w:val="004210C3"/>
    <w:rsid w:val="0043411B"/>
    <w:rsid w:val="004359D4"/>
    <w:rsid w:val="00464A8F"/>
    <w:rsid w:val="0048515A"/>
    <w:rsid w:val="00490655"/>
    <w:rsid w:val="00490EAC"/>
    <w:rsid w:val="004958A8"/>
    <w:rsid w:val="004A184D"/>
    <w:rsid w:val="004B073D"/>
    <w:rsid w:val="004B0D80"/>
    <w:rsid w:val="004B5AEF"/>
    <w:rsid w:val="004C3265"/>
    <w:rsid w:val="004C3597"/>
    <w:rsid w:val="004C6321"/>
    <w:rsid w:val="004D5C3D"/>
    <w:rsid w:val="004D7AC5"/>
    <w:rsid w:val="00511010"/>
    <w:rsid w:val="005249C6"/>
    <w:rsid w:val="005255C3"/>
    <w:rsid w:val="00525D20"/>
    <w:rsid w:val="00526617"/>
    <w:rsid w:val="005321BC"/>
    <w:rsid w:val="00554E20"/>
    <w:rsid w:val="005575D5"/>
    <w:rsid w:val="00560162"/>
    <w:rsid w:val="00581E2B"/>
    <w:rsid w:val="005A2C36"/>
    <w:rsid w:val="005A3E33"/>
    <w:rsid w:val="005B15C2"/>
    <w:rsid w:val="005D2A77"/>
    <w:rsid w:val="005D5FE4"/>
    <w:rsid w:val="005E3060"/>
    <w:rsid w:val="006001BE"/>
    <w:rsid w:val="006009D3"/>
    <w:rsid w:val="0061407B"/>
    <w:rsid w:val="00627A43"/>
    <w:rsid w:val="00635076"/>
    <w:rsid w:val="00655717"/>
    <w:rsid w:val="006606E8"/>
    <w:rsid w:val="006669D8"/>
    <w:rsid w:val="006756B6"/>
    <w:rsid w:val="00675746"/>
    <w:rsid w:val="00680DF7"/>
    <w:rsid w:val="006D5BC6"/>
    <w:rsid w:val="006E1342"/>
    <w:rsid w:val="00706B73"/>
    <w:rsid w:val="00711FB4"/>
    <w:rsid w:val="00715C2A"/>
    <w:rsid w:val="00733421"/>
    <w:rsid w:val="00747558"/>
    <w:rsid w:val="007656D6"/>
    <w:rsid w:val="00781B78"/>
    <w:rsid w:val="007822AD"/>
    <w:rsid w:val="0079325B"/>
    <w:rsid w:val="007A07A8"/>
    <w:rsid w:val="007B3E25"/>
    <w:rsid w:val="007B4C03"/>
    <w:rsid w:val="007B4C09"/>
    <w:rsid w:val="007B59BA"/>
    <w:rsid w:val="007B5C39"/>
    <w:rsid w:val="007B5C65"/>
    <w:rsid w:val="007C2057"/>
    <w:rsid w:val="007E7024"/>
    <w:rsid w:val="007F5092"/>
    <w:rsid w:val="007F70F9"/>
    <w:rsid w:val="00801DD2"/>
    <w:rsid w:val="008063DA"/>
    <w:rsid w:val="00811B00"/>
    <w:rsid w:val="00823836"/>
    <w:rsid w:val="00824936"/>
    <w:rsid w:val="0083021F"/>
    <w:rsid w:val="00843E41"/>
    <w:rsid w:val="0085133F"/>
    <w:rsid w:val="00860F53"/>
    <w:rsid w:val="008648FF"/>
    <w:rsid w:val="008678EA"/>
    <w:rsid w:val="00871C60"/>
    <w:rsid w:val="00873214"/>
    <w:rsid w:val="00887998"/>
    <w:rsid w:val="008935AE"/>
    <w:rsid w:val="008A4A71"/>
    <w:rsid w:val="008C0CB0"/>
    <w:rsid w:val="008C5312"/>
    <w:rsid w:val="008F43B3"/>
    <w:rsid w:val="00913604"/>
    <w:rsid w:val="009158C4"/>
    <w:rsid w:val="00916DCB"/>
    <w:rsid w:val="00924689"/>
    <w:rsid w:val="00930D4B"/>
    <w:rsid w:val="00934646"/>
    <w:rsid w:val="009353A1"/>
    <w:rsid w:val="00945EA1"/>
    <w:rsid w:val="00953589"/>
    <w:rsid w:val="00981930"/>
    <w:rsid w:val="009B68F8"/>
    <w:rsid w:val="009C297B"/>
    <w:rsid w:val="009D32C9"/>
    <w:rsid w:val="009E4E58"/>
    <w:rsid w:val="009F6A77"/>
    <w:rsid w:val="00A013DF"/>
    <w:rsid w:val="00A33ADB"/>
    <w:rsid w:val="00A36014"/>
    <w:rsid w:val="00A44CA3"/>
    <w:rsid w:val="00A452AB"/>
    <w:rsid w:val="00A50C61"/>
    <w:rsid w:val="00A51B11"/>
    <w:rsid w:val="00A53F06"/>
    <w:rsid w:val="00A62B88"/>
    <w:rsid w:val="00A80E14"/>
    <w:rsid w:val="00A97C08"/>
    <w:rsid w:val="00AD117E"/>
    <w:rsid w:val="00AE18E0"/>
    <w:rsid w:val="00AF344F"/>
    <w:rsid w:val="00AF6033"/>
    <w:rsid w:val="00B075B4"/>
    <w:rsid w:val="00B12ADB"/>
    <w:rsid w:val="00B20832"/>
    <w:rsid w:val="00B21EF7"/>
    <w:rsid w:val="00B230E2"/>
    <w:rsid w:val="00B301F4"/>
    <w:rsid w:val="00B56314"/>
    <w:rsid w:val="00B57B0C"/>
    <w:rsid w:val="00B609A4"/>
    <w:rsid w:val="00B71140"/>
    <w:rsid w:val="00B900E2"/>
    <w:rsid w:val="00BB0CE7"/>
    <w:rsid w:val="00BB59A2"/>
    <w:rsid w:val="00BD7061"/>
    <w:rsid w:val="00BE0208"/>
    <w:rsid w:val="00BE1A4E"/>
    <w:rsid w:val="00BE4B66"/>
    <w:rsid w:val="00C0323C"/>
    <w:rsid w:val="00C04F93"/>
    <w:rsid w:val="00C15F4F"/>
    <w:rsid w:val="00C21EDB"/>
    <w:rsid w:val="00C50306"/>
    <w:rsid w:val="00C51530"/>
    <w:rsid w:val="00C51A31"/>
    <w:rsid w:val="00C62B54"/>
    <w:rsid w:val="00C6664C"/>
    <w:rsid w:val="00C864A9"/>
    <w:rsid w:val="00CA5922"/>
    <w:rsid w:val="00CB08B8"/>
    <w:rsid w:val="00CC19EB"/>
    <w:rsid w:val="00CD22D3"/>
    <w:rsid w:val="00CE1942"/>
    <w:rsid w:val="00CF0FA6"/>
    <w:rsid w:val="00D01337"/>
    <w:rsid w:val="00D042F3"/>
    <w:rsid w:val="00D11349"/>
    <w:rsid w:val="00D1263B"/>
    <w:rsid w:val="00D214E7"/>
    <w:rsid w:val="00D25722"/>
    <w:rsid w:val="00D33D10"/>
    <w:rsid w:val="00D4004F"/>
    <w:rsid w:val="00D71245"/>
    <w:rsid w:val="00D744F6"/>
    <w:rsid w:val="00D77535"/>
    <w:rsid w:val="00DA0D8C"/>
    <w:rsid w:val="00DA66DD"/>
    <w:rsid w:val="00DB6E76"/>
    <w:rsid w:val="00DB6F4F"/>
    <w:rsid w:val="00DC5E44"/>
    <w:rsid w:val="00DF1398"/>
    <w:rsid w:val="00E06103"/>
    <w:rsid w:val="00E479CF"/>
    <w:rsid w:val="00E50823"/>
    <w:rsid w:val="00E52A95"/>
    <w:rsid w:val="00E841C6"/>
    <w:rsid w:val="00E87756"/>
    <w:rsid w:val="00E90A2D"/>
    <w:rsid w:val="00E97EA3"/>
    <w:rsid w:val="00EB62D9"/>
    <w:rsid w:val="00EC4572"/>
    <w:rsid w:val="00EE0EEA"/>
    <w:rsid w:val="00EF4275"/>
    <w:rsid w:val="00EF5797"/>
    <w:rsid w:val="00F12410"/>
    <w:rsid w:val="00F13E74"/>
    <w:rsid w:val="00F43AD8"/>
    <w:rsid w:val="00F468E8"/>
    <w:rsid w:val="00F474C4"/>
    <w:rsid w:val="00F56730"/>
    <w:rsid w:val="00F86D57"/>
    <w:rsid w:val="00F905B7"/>
    <w:rsid w:val="00FA248D"/>
    <w:rsid w:val="00FA510F"/>
    <w:rsid w:val="00FB6505"/>
    <w:rsid w:val="00FC6740"/>
    <w:rsid w:val="00FC6866"/>
    <w:rsid w:val="00FF5E0E"/>
    <w:rsid w:val="00FF69F0"/>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15:docId w15:val="{6398507C-63F1-4F7F-8E3D-024AF6642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5722"/>
    <w:pPr>
      <w:widowControl w:val="0"/>
    </w:pPr>
    <w:rPr>
      <w:snapToGrid w:val="0"/>
      <w:sz w:val="24"/>
    </w:rPr>
  </w:style>
  <w:style w:type="paragraph" w:styleId="Heading1">
    <w:name w:val="heading 1"/>
    <w:basedOn w:val="Normal"/>
    <w:next w:val="Normal"/>
    <w:qFormat/>
    <w:rsid w:val="00D25722"/>
    <w:pPr>
      <w:keepNext/>
      <w:jc w:val="center"/>
      <w:outlineLvl w:val="0"/>
    </w:pPr>
    <w:rPr>
      <w:rFonts w:ascii="Arial" w:hAnsi="Arial"/>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D25722"/>
  </w:style>
  <w:style w:type="paragraph" w:styleId="Header">
    <w:name w:val="header"/>
    <w:basedOn w:val="Normal"/>
    <w:rsid w:val="00D25722"/>
    <w:pPr>
      <w:tabs>
        <w:tab w:val="center" w:pos="4320"/>
        <w:tab w:val="right" w:pos="8640"/>
      </w:tabs>
    </w:pPr>
  </w:style>
  <w:style w:type="paragraph" w:styleId="Footer">
    <w:name w:val="footer"/>
    <w:basedOn w:val="Normal"/>
    <w:rsid w:val="00D25722"/>
    <w:pPr>
      <w:tabs>
        <w:tab w:val="center" w:pos="4320"/>
        <w:tab w:val="right" w:pos="8640"/>
      </w:tabs>
    </w:pPr>
  </w:style>
  <w:style w:type="character" w:styleId="PageNumber">
    <w:name w:val="page number"/>
    <w:basedOn w:val="DefaultParagraphFont"/>
    <w:rsid w:val="00D25722"/>
  </w:style>
  <w:style w:type="paragraph" w:styleId="BodyText">
    <w:name w:val="Body Text"/>
    <w:basedOn w:val="Normal"/>
    <w:rsid w:val="00D25722"/>
    <w:pPr>
      <w:jc w:val="both"/>
    </w:pPr>
    <w:rPr>
      <w:rFonts w:ascii="Arial" w:hAnsi="Arial"/>
    </w:rPr>
  </w:style>
  <w:style w:type="paragraph" w:styleId="BodyTextIndent">
    <w:name w:val="Body Text Indent"/>
    <w:basedOn w:val="Normal"/>
    <w:rsid w:val="00D25722"/>
    <w:pPr>
      <w:ind w:firstLine="720"/>
      <w:jc w:val="both"/>
    </w:pPr>
    <w:rPr>
      <w:rFonts w:ascii="Arial" w:hAnsi="Arial"/>
    </w:rPr>
  </w:style>
  <w:style w:type="paragraph" w:styleId="BalloonText">
    <w:name w:val="Balloon Text"/>
    <w:basedOn w:val="Normal"/>
    <w:semiHidden/>
    <w:rsid w:val="000F6D98"/>
    <w:rPr>
      <w:rFonts w:ascii="Tahoma" w:hAnsi="Tahoma" w:cs="Tahoma"/>
      <w:sz w:val="16"/>
      <w:szCs w:val="16"/>
    </w:rPr>
  </w:style>
  <w:style w:type="character" w:styleId="CommentReference">
    <w:name w:val="annotation reference"/>
    <w:basedOn w:val="DefaultParagraphFont"/>
    <w:semiHidden/>
    <w:unhideWhenUsed/>
    <w:rsid w:val="00873214"/>
    <w:rPr>
      <w:sz w:val="16"/>
      <w:szCs w:val="16"/>
    </w:rPr>
  </w:style>
  <w:style w:type="paragraph" w:styleId="CommentText">
    <w:name w:val="annotation text"/>
    <w:basedOn w:val="Normal"/>
    <w:link w:val="CommentTextChar"/>
    <w:semiHidden/>
    <w:unhideWhenUsed/>
    <w:rsid w:val="00873214"/>
    <w:rPr>
      <w:sz w:val="20"/>
    </w:rPr>
  </w:style>
  <w:style w:type="character" w:customStyle="1" w:styleId="CommentTextChar">
    <w:name w:val="Comment Text Char"/>
    <w:basedOn w:val="DefaultParagraphFont"/>
    <w:link w:val="CommentText"/>
    <w:semiHidden/>
    <w:rsid w:val="00873214"/>
    <w:rPr>
      <w:snapToGrid w:val="0"/>
    </w:rPr>
  </w:style>
  <w:style w:type="paragraph" w:styleId="CommentSubject">
    <w:name w:val="annotation subject"/>
    <w:basedOn w:val="CommentText"/>
    <w:next w:val="CommentText"/>
    <w:link w:val="CommentSubjectChar"/>
    <w:semiHidden/>
    <w:unhideWhenUsed/>
    <w:rsid w:val="00873214"/>
    <w:rPr>
      <w:b/>
      <w:bCs/>
    </w:rPr>
  </w:style>
  <w:style w:type="character" w:customStyle="1" w:styleId="CommentSubjectChar">
    <w:name w:val="Comment Subject Char"/>
    <w:basedOn w:val="CommentTextChar"/>
    <w:link w:val="CommentSubject"/>
    <w:semiHidden/>
    <w:rsid w:val="00873214"/>
    <w:rPr>
      <w:b/>
      <w:bCs/>
      <w:snapToGrid w:val="0"/>
    </w:rPr>
  </w:style>
  <w:style w:type="paragraph" w:styleId="FootnoteText">
    <w:name w:val="footnote text"/>
    <w:aliases w:val="Footnote Text Char Char,Footnote Text Char Char Char Char Char,Footnote Text Char Char1,Footnote Text Char Char1 Char,Footnote Text Char1,Footnote Text Char1 Char Char Char,Footnote Text Char2 Char,Style 13,Style 22,f,fn,ft,ft Char"/>
    <w:basedOn w:val="Normal"/>
    <w:link w:val="FootnoteTextChar"/>
    <w:unhideWhenUsed/>
    <w:qFormat/>
    <w:rsid w:val="00E97EA3"/>
    <w:rPr>
      <w:sz w:val="20"/>
    </w:rPr>
  </w:style>
  <w:style w:type="character" w:customStyle="1" w:styleId="FootnoteTextChar">
    <w:name w:val="Footnote Text Char"/>
    <w:aliases w:val="Footnote Text Char Char Char,Footnote Text Char Char1 Char Char,Footnote Text Char Char1 Char1,Footnote Text Char1 Char Char Char Char,Footnote Text Char2 Char Char,Style 13 Char,Style 22 Char,f Char,fn Char,ft Char Char,ft Char1"/>
    <w:basedOn w:val="DefaultParagraphFont"/>
    <w:link w:val="FootnoteText"/>
    <w:rsid w:val="00E97EA3"/>
    <w:rPr>
      <w:snapToGrid w:val="0"/>
    </w:rPr>
  </w:style>
  <w:style w:type="paragraph" w:styleId="Revision">
    <w:name w:val="Revision"/>
    <w:hidden/>
    <w:uiPriority w:val="99"/>
    <w:semiHidden/>
    <w:rsid w:val="004B073D"/>
    <w:rPr>
      <w:snapToGrid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3</Pages>
  <Words>950</Words>
  <Characters>5306</Characters>
  <Application>Microsoft Office Word</Application>
  <DocSecurity>0</DocSecurity>
  <Lines>44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