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6816" w:type="dxa"/>
        <w:tblLook w:val="04A0" w:firstRow="1" w:lastRow="0" w:firstColumn="1" w:lastColumn="0" w:noHBand="0" w:noVBand="1"/>
      </w:tblPr>
      <w:tblGrid>
        <w:gridCol w:w="1936"/>
        <w:gridCol w:w="976"/>
        <w:gridCol w:w="976"/>
        <w:gridCol w:w="976"/>
        <w:gridCol w:w="976"/>
        <w:gridCol w:w="976"/>
      </w:tblGrid>
      <w:tr w:rsidRPr="005F6270" w:rsidR="005F6270" w:rsidTr="005F6270" w14:paraId="58F49790" w14:textId="77777777">
        <w:trPr>
          <w:trHeight w:val="255"/>
        </w:trPr>
        <w:tc>
          <w:tcPr>
            <w:tcW w:w="1936" w:type="dxa"/>
            <w:tcBorders>
              <w:top w:val="nil"/>
              <w:left w:val="nil"/>
              <w:bottom w:val="nil"/>
              <w:right w:val="nil"/>
            </w:tcBorders>
            <w:shd w:val="clear" w:color="auto" w:fill="auto"/>
            <w:noWrap/>
            <w:vAlign w:val="bottom"/>
            <w:hideMark/>
          </w:tcPr>
          <w:p w:rsidRPr="005F6270" w:rsidR="005F6270" w:rsidP="005F6270" w:rsidRDefault="005F6270" w14:paraId="49A16ECB" w14:textId="77777777">
            <w:pPr>
              <w:spacing w:after="0" w:line="240" w:lineRule="auto"/>
              <w:rPr>
                <w:rFonts w:ascii="Arial" w:hAnsi="Arial" w:eastAsia="Times New Roman" w:cs="Arial"/>
                <w:b/>
                <w:bCs/>
                <w:sz w:val="20"/>
                <w:szCs w:val="20"/>
              </w:rPr>
            </w:pPr>
            <w:r w:rsidRPr="005F6270">
              <w:rPr>
                <w:rFonts w:ascii="Arial" w:hAnsi="Arial" w:eastAsia="Times New Roman" w:cs="Arial"/>
                <w:b/>
                <w:bCs/>
                <w:sz w:val="20"/>
                <w:szCs w:val="20"/>
              </w:rPr>
              <w:t>2025 RATE CASE</w:t>
            </w:r>
          </w:p>
        </w:tc>
        <w:tc>
          <w:tcPr>
            <w:tcW w:w="976" w:type="dxa"/>
            <w:tcBorders>
              <w:top w:val="nil"/>
              <w:left w:val="nil"/>
              <w:bottom w:val="nil"/>
              <w:right w:val="nil"/>
            </w:tcBorders>
            <w:shd w:val="clear" w:color="auto" w:fill="auto"/>
            <w:noWrap/>
            <w:vAlign w:val="bottom"/>
            <w:hideMark/>
          </w:tcPr>
          <w:p w:rsidRPr="005F6270" w:rsidR="005F6270" w:rsidP="005F6270" w:rsidRDefault="005F6270" w14:paraId="51243CDC" w14:textId="77777777">
            <w:pPr>
              <w:spacing w:after="0" w:line="240" w:lineRule="auto"/>
              <w:rPr>
                <w:rFonts w:ascii="Arial" w:hAnsi="Arial" w:eastAsia="Times New Roman" w:cs="Arial"/>
                <w:b/>
                <w:bCs/>
                <w:sz w:val="20"/>
                <w:szCs w:val="20"/>
              </w:rPr>
            </w:pPr>
          </w:p>
        </w:tc>
        <w:tc>
          <w:tcPr>
            <w:tcW w:w="976" w:type="dxa"/>
            <w:tcBorders>
              <w:top w:val="nil"/>
              <w:left w:val="nil"/>
              <w:bottom w:val="nil"/>
              <w:right w:val="nil"/>
            </w:tcBorders>
            <w:shd w:val="clear" w:color="auto" w:fill="auto"/>
            <w:noWrap/>
            <w:vAlign w:val="bottom"/>
            <w:hideMark/>
          </w:tcPr>
          <w:p w:rsidRPr="005F6270" w:rsidR="005F6270" w:rsidP="005F6270" w:rsidRDefault="005F6270" w14:paraId="763F98F6" w14:textId="77777777">
            <w:pPr>
              <w:spacing w:after="0" w:line="240" w:lineRule="auto"/>
              <w:rPr>
                <w:rFonts w:ascii="Times New Roman" w:hAnsi="Times New Roman"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Pr="005F6270" w:rsidR="005F6270" w:rsidP="005F6270" w:rsidRDefault="005F6270" w14:paraId="00DC1BCB" w14:textId="77777777">
            <w:pPr>
              <w:spacing w:after="0" w:line="240" w:lineRule="auto"/>
              <w:rPr>
                <w:rFonts w:ascii="Times New Roman" w:hAnsi="Times New Roman"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Pr="005F6270" w:rsidR="005F6270" w:rsidP="005F6270" w:rsidRDefault="005F6270" w14:paraId="1722E921" w14:textId="77777777">
            <w:pPr>
              <w:spacing w:after="0" w:line="240" w:lineRule="auto"/>
              <w:rPr>
                <w:rFonts w:ascii="Times New Roman" w:hAnsi="Times New Roman"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Pr="005F6270" w:rsidR="005F6270" w:rsidP="005F6270" w:rsidRDefault="005F6270" w14:paraId="31565B2D" w14:textId="77777777">
            <w:pPr>
              <w:spacing w:after="0" w:line="240" w:lineRule="auto"/>
              <w:rPr>
                <w:rFonts w:ascii="Times New Roman" w:hAnsi="Times New Roman" w:eastAsia="Times New Roman" w:cs="Times New Roman"/>
                <w:sz w:val="20"/>
                <w:szCs w:val="20"/>
              </w:rPr>
            </w:pPr>
          </w:p>
        </w:tc>
      </w:tr>
      <w:tr w:rsidRPr="005F6270" w:rsidR="005F6270" w:rsidTr="005F6270" w14:paraId="10327F82" w14:textId="77777777">
        <w:trPr>
          <w:trHeight w:val="255"/>
        </w:trPr>
        <w:tc>
          <w:tcPr>
            <w:tcW w:w="4864" w:type="dxa"/>
            <w:gridSpan w:val="4"/>
            <w:tcBorders>
              <w:top w:val="nil"/>
              <w:left w:val="nil"/>
              <w:bottom w:val="nil"/>
              <w:right w:val="nil"/>
            </w:tcBorders>
            <w:shd w:val="clear" w:color="auto" w:fill="auto"/>
            <w:noWrap/>
            <w:vAlign w:val="bottom"/>
            <w:hideMark/>
          </w:tcPr>
          <w:p w:rsidRPr="005F6270" w:rsidR="005F6270" w:rsidP="005F6270" w:rsidRDefault="005F6270" w14:paraId="3A675913" w14:textId="77777777">
            <w:pPr>
              <w:spacing w:after="0" w:line="240" w:lineRule="auto"/>
              <w:rPr>
                <w:rFonts w:ascii="Arial" w:hAnsi="Arial" w:eastAsia="Times New Roman" w:cs="Arial"/>
                <w:b/>
                <w:bCs/>
                <w:sz w:val="20"/>
                <w:szCs w:val="20"/>
              </w:rPr>
            </w:pPr>
            <w:r w:rsidRPr="005F6270">
              <w:rPr>
                <w:rFonts w:ascii="Arial" w:hAnsi="Arial" w:eastAsia="Times New Roman" w:cs="Arial"/>
                <w:b/>
                <w:bCs/>
                <w:sz w:val="20"/>
                <w:szCs w:val="20"/>
              </w:rPr>
              <w:t>ONCOR ELECTRIC DELIVERY COMPANY LLC</w:t>
            </w:r>
          </w:p>
        </w:tc>
        <w:tc>
          <w:tcPr>
            <w:tcW w:w="976" w:type="dxa"/>
            <w:tcBorders>
              <w:top w:val="nil"/>
              <w:left w:val="nil"/>
              <w:bottom w:val="nil"/>
              <w:right w:val="nil"/>
            </w:tcBorders>
            <w:shd w:val="clear" w:color="auto" w:fill="auto"/>
            <w:noWrap/>
            <w:vAlign w:val="bottom"/>
            <w:hideMark/>
          </w:tcPr>
          <w:p w:rsidRPr="005F6270" w:rsidR="005F6270" w:rsidP="005F6270" w:rsidRDefault="005F6270" w14:paraId="29D10353" w14:textId="77777777">
            <w:pPr>
              <w:spacing w:after="0" w:line="240" w:lineRule="auto"/>
              <w:rPr>
                <w:rFonts w:ascii="Arial" w:hAnsi="Arial" w:eastAsia="Times New Roman" w:cs="Arial"/>
                <w:b/>
                <w:bCs/>
                <w:sz w:val="20"/>
                <w:szCs w:val="20"/>
              </w:rPr>
            </w:pPr>
          </w:p>
        </w:tc>
        <w:tc>
          <w:tcPr>
            <w:tcW w:w="976" w:type="dxa"/>
            <w:tcBorders>
              <w:top w:val="nil"/>
              <w:left w:val="nil"/>
              <w:bottom w:val="nil"/>
              <w:right w:val="nil"/>
            </w:tcBorders>
            <w:shd w:val="clear" w:color="auto" w:fill="auto"/>
            <w:noWrap/>
            <w:vAlign w:val="bottom"/>
            <w:hideMark/>
          </w:tcPr>
          <w:p w:rsidRPr="005F6270" w:rsidR="005F6270" w:rsidP="005F6270" w:rsidRDefault="005F6270" w14:paraId="52793D53" w14:textId="77777777">
            <w:pPr>
              <w:spacing w:after="0" w:line="240" w:lineRule="auto"/>
              <w:rPr>
                <w:rFonts w:ascii="Times New Roman" w:hAnsi="Times New Roman" w:eastAsia="Times New Roman" w:cs="Times New Roman"/>
                <w:sz w:val="20"/>
                <w:szCs w:val="20"/>
              </w:rPr>
            </w:pPr>
          </w:p>
        </w:tc>
      </w:tr>
      <w:tr w:rsidRPr="005F6270" w:rsidR="005F6270" w:rsidTr="005F6270" w14:paraId="49DF7766" w14:textId="77777777">
        <w:trPr>
          <w:trHeight w:val="255"/>
        </w:trPr>
        <w:tc>
          <w:tcPr>
            <w:tcW w:w="3888" w:type="dxa"/>
            <w:gridSpan w:val="3"/>
            <w:tcBorders>
              <w:top w:val="nil"/>
              <w:left w:val="nil"/>
              <w:bottom w:val="nil"/>
              <w:right w:val="nil"/>
            </w:tcBorders>
            <w:shd w:val="clear" w:color="auto" w:fill="auto"/>
            <w:noWrap/>
            <w:vAlign w:val="bottom"/>
            <w:hideMark/>
          </w:tcPr>
          <w:p w:rsidRPr="005F6270" w:rsidR="005F6270" w:rsidP="005F6270" w:rsidRDefault="005F6270" w14:paraId="7C525658" w14:textId="541732AB">
            <w:pPr>
              <w:spacing w:after="0" w:line="240" w:lineRule="auto"/>
              <w:rPr>
                <w:rFonts w:ascii="Arial" w:hAnsi="Arial" w:eastAsia="Times New Roman" w:cs="Arial"/>
                <w:b/>
                <w:bCs/>
                <w:sz w:val="20"/>
                <w:szCs w:val="20"/>
              </w:rPr>
            </w:pPr>
            <w:r w:rsidRPr="005F6270">
              <w:rPr>
                <w:rFonts w:ascii="Arial" w:hAnsi="Arial" w:eastAsia="Times New Roman" w:cs="Arial"/>
                <w:b/>
                <w:bCs/>
                <w:sz w:val="20"/>
                <w:szCs w:val="20"/>
              </w:rPr>
              <w:t>II-C-2.</w:t>
            </w:r>
            <w:proofErr w:type="gramStart"/>
            <w:r>
              <w:rPr>
                <w:rFonts w:ascii="Arial" w:hAnsi="Arial" w:eastAsia="Times New Roman" w:cs="Arial"/>
                <w:b/>
                <w:bCs/>
                <w:sz w:val="20"/>
                <w:szCs w:val="20"/>
              </w:rPr>
              <w:t>6</w:t>
            </w:r>
            <w:r w:rsidRPr="005F6270">
              <w:rPr>
                <w:rFonts w:ascii="Arial" w:hAnsi="Arial" w:eastAsia="Times New Roman" w:cs="Arial"/>
                <w:b/>
                <w:bCs/>
                <w:sz w:val="20"/>
                <w:szCs w:val="20"/>
              </w:rPr>
              <w:t xml:space="preserve">  </w:t>
            </w:r>
            <w:r>
              <w:rPr>
                <w:rFonts w:ascii="Arial" w:hAnsi="Arial" w:eastAsia="Times New Roman" w:cs="Arial"/>
                <w:b/>
                <w:bCs/>
                <w:sz w:val="20"/>
                <w:szCs w:val="20"/>
              </w:rPr>
              <w:t>SECURITY</w:t>
            </w:r>
            <w:proofErr w:type="gramEnd"/>
            <w:r>
              <w:rPr>
                <w:rFonts w:ascii="Arial" w:hAnsi="Arial" w:eastAsia="Times New Roman" w:cs="Arial"/>
                <w:b/>
                <w:bCs/>
                <w:sz w:val="20"/>
                <w:szCs w:val="20"/>
              </w:rPr>
              <w:t xml:space="preserve"> ISSUANCE RESTRICTIONS</w:t>
            </w:r>
          </w:p>
        </w:tc>
        <w:tc>
          <w:tcPr>
            <w:tcW w:w="976" w:type="dxa"/>
            <w:tcBorders>
              <w:top w:val="nil"/>
              <w:left w:val="nil"/>
              <w:bottom w:val="nil"/>
              <w:right w:val="nil"/>
            </w:tcBorders>
            <w:shd w:val="clear" w:color="auto" w:fill="auto"/>
            <w:noWrap/>
            <w:vAlign w:val="bottom"/>
            <w:hideMark/>
          </w:tcPr>
          <w:p w:rsidRPr="005F6270" w:rsidR="005F6270" w:rsidP="005F6270" w:rsidRDefault="005F6270" w14:paraId="7DC7700A" w14:textId="77777777">
            <w:pPr>
              <w:spacing w:after="0" w:line="240" w:lineRule="auto"/>
              <w:rPr>
                <w:rFonts w:ascii="Arial" w:hAnsi="Arial" w:eastAsia="Times New Roman" w:cs="Arial"/>
                <w:b/>
                <w:bCs/>
                <w:sz w:val="20"/>
                <w:szCs w:val="20"/>
              </w:rPr>
            </w:pPr>
          </w:p>
        </w:tc>
        <w:tc>
          <w:tcPr>
            <w:tcW w:w="976" w:type="dxa"/>
            <w:tcBorders>
              <w:top w:val="nil"/>
              <w:left w:val="nil"/>
              <w:bottom w:val="nil"/>
              <w:right w:val="nil"/>
            </w:tcBorders>
            <w:shd w:val="clear" w:color="auto" w:fill="auto"/>
            <w:noWrap/>
            <w:vAlign w:val="bottom"/>
            <w:hideMark/>
          </w:tcPr>
          <w:p w:rsidRPr="005F6270" w:rsidR="005F6270" w:rsidP="005F6270" w:rsidRDefault="005F6270" w14:paraId="67223C6C" w14:textId="77777777">
            <w:pPr>
              <w:spacing w:after="0" w:line="240" w:lineRule="auto"/>
              <w:rPr>
                <w:rFonts w:ascii="Times New Roman" w:hAnsi="Times New Roman"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Pr="005F6270" w:rsidR="005F6270" w:rsidP="005F6270" w:rsidRDefault="005F6270" w14:paraId="2774E0C4" w14:textId="77777777">
            <w:pPr>
              <w:spacing w:after="0" w:line="240" w:lineRule="auto"/>
              <w:rPr>
                <w:rFonts w:ascii="Times New Roman" w:hAnsi="Times New Roman" w:eastAsia="Times New Roman" w:cs="Times New Roman"/>
                <w:sz w:val="20"/>
                <w:szCs w:val="20"/>
              </w:rPr>
            </w:pPr>
          </w:p>
        </w:tc>
      </w:tr>
      <w:tr w:rsidRPr="005F6270" w:rsidR="005F6270" w:rsidTr="005F6270" w14:paraId="67161C9A" w14:textId="77777777">
        <w:trPr>
          <w:trHeight w:val="255"/>
        </w:trPr>
        <w:tc>
          <w:tcPr>
            <w:tcW w:w="6816" w:type="dxa"/>
            <w:gridSpan w:val="6"/>
            <w:tcBorders>
              <w:top w:val="nil"/>
              <w:left w:val="nil"/>
              <w:bottom w:val="nil"/>
              <w:right w:val="nil"/>
            </w:tcBorders>
            <w:shd w:val="clear" w:color="auto" w:fill="auto"/>
            <w:noWrap/>
            <w:vAlign w:val="bottom"/>
          </w:tcPr>
          <w:p w:rsidRPr="005F6270" w:rsidR="005F6270" w:rsidP="005F6270" w:rsidRDefault="005F6270" w14:paraId="1CF466BD" w14:textId="3B30C009">
            <w:pPr>
              <w:spacing w:after="0" w:line="240" w:lineRule="auto"/>
              <w:rPr>
                <w:rFonts w:ascii="Arial" w:hAnsi="Arial" w:eastAsia="Times New Roman" w:cs="Arial"/>
                <w:b/>
                <w:bCs/>
                <w:sz w:val="20"/>
                <w:szCs w:val="20"/>
              </w:rPr>
            </w:pPr>
          </w:p>
        </w:tc>
      </w:tr>
      <w:tr w:rsidRPr="005F6270" w:rsidR="005F6270" w:rsidTr="005F6270" w14:paraId="49F5AB02" w14:textId="77777777">
        <w:trPr>
          <w:trHeight w:val="255"/>
        </w:trPr>
        <w:tc>
          <w:tcPr>
            <w:tcW w:w="2912" w:type="dxa"/>
            <w:gridSpan w:val="2"/>
            <w:tcBorders>
              <w:top w:val="nil"/>
              <w:left w:val="nil"/>
              <w:bottom w:val="nil"/>
              <w:right w:val="nil"/>
            </w:tcBorders>
            <w:shd w:val="clear" w:color="auto" w:fill="auto"/>
            <w:noWrap/>
            <w:vAlign w:val="bottom"/>
            <w:hideMark/>
          </w:tcPr>
          <w:p w:rsidRPr="005F6270" w:rsidR="005F6270" w:rsidP="005F6270" w:rsidRDefault="005F6270" w14:paraId="565425C6" w14:textId="431FBBD8">
            <w:pPr>
              <w:spacing w:after="0" w:line="240" w:lineRule="auto"/>
              <w:rPr>
                <w:rFonts w:ascii="Arial" w:hAnsi="Arial" w:eastAsia="Times New Roman" w:cs="Arial"/>
                <w:b/>
                <w:bCs/>
                <w:sz w:val="20"/>
                <w:szCs w:val="20"/>
              </w:rPr>
            </w:pPr>
            <w:r>
              <w:rPr>
                <w:rFonts w:ascii="Arial" w:hAnsi="Arial" w:eastAsia="Times New Roman" w:cs="Arial"/>
                <w:b/>
                <w:bCs/>
                <w:sz w:val="20"/>
                <w:szCs w:val="20"/>
              </w:rPr>
              <w:t>S</w:t>
            </w:r>
            <w:r w:rsidRPr="005F6270">
              <w:rPr>
                <w:rFonts w:ascii="Arial" w:hAnsi="Arial" w:eastAsia="Times New Roman" w:cs="Arial"/>
                <w:b/>
                <w:bCs/>
                <w:sz w:val="20"/>
                <w:szCs w:val="20"/>
              </w:rPr>
              <w:t>PONSOR: K. FEASE</w:t>
            </w:r>
          </w:p>
        </w:tc>
        <w:tc>
          <w:tcPr>
            <w:tcW w:w="976" w:type="dxa"/>
            <w:tcBorders>
              <w:top w:val="nil"/>
              <w:left w:val="nil"/>
              <w:bottom w:val="nil"/>
              <w:right w:val="nil"/>
            </w:tcBorders>
            <w:shd w:val="clear" w:color="auto" w:fill="auto"/>
            <w:noWrap/>
            <w:vAlign w:val="bottom"/>
            <w:hideMark/>
          </w:tcPr>
          <w:p w:rsidRPr="005F6270" w:rsidR="005F6270" w:rsidP="005F6270" w:rsidRDefault="005F6270" w14:paraId="7539F0FF" w14:textId="77777777">
            <w:pPr>
              <w:spacing w:after="0" w:line="240" w:lineRule="auto"/>
              <w:rPr>
                <w:rFonts w:ascii="Arial" w:hAnsi="Arial" w:eastAsia="Times New Roman" w:cs="Arial"/>
                <w:b/>
                <w:bCs/>
                <w:sz w:val="20"/>
                <w:szCs w:val="20"/>
              </w:rPr>
            </w:pPr>
          </w:p>
        </w:tc>
        <w:tc>
          <w:tcPr>
            <w:tcW w:w="976" w:type="dxa"/>
            <w:tcBorders>
              <w:top w:val="nil"/>
              <w:left w:val="nil"/>
              <w:bottom w:val="nil"/>
              <w:right w:val="nil"/>
            </w:tcBorders>
            <w:shd w:val="clear" w:color="auto" w:fill="auto"/>
            <w:noWrap/>
            <w:vAlign w:val="bottom"/>
            <w:hideMark/>
          </w:tcPr>
          <w:p w:rsidRPr="005F6270" w:rsidR="005F6270" w:rsidP="005F6270" w:rsidRDefault="005F6270" w14:paraId="4ADF5F32" w14:textId="77777777">
            <w:pPr>
              <w:spacing w:after="0" w:line="240" w:lineRule="auto"/>
              <w:rPr>
                <w:rFonts w:ascii="Times New Roman" w:hAnsi="Times New Roman"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Pr="005F6270" w:rsidR="005F6270" w:rsidP="005F6270" w:rsidRDefault="005F6270" w14:paraId="7653E50A" w14:textId="77777777">
            <w:pPr>
              <w:spacing w:after="0" w:line="240" w:lineRule="auto"/>
              <w:rPr>
                <w:rFonts w:ascii="Times New Roman" w:hAnsi="Times New Roman" w:eastAsia="Times New Roman" w:cs="Times New Roman"/>
                <w:sz w:val="20"/>
                <w:szCs w:val="20"/>
              </w:rPr>
            </w:pPr>
          </w:p>
        </w:tc>
        <w:tc>
          <w:tcPr>
            <w:tcW w:w="976" w:type="dxa"/>
            <w:tcBorders>
              <w:top w:val="nil"/>
              <w:left w:val="nil"/>
              <w:bottom w:val="nil"/>
              <w:right w:val="nil"/>
            </w:tcBorders>
            <w:shd w:val="clear" w:color="auto" w:fill="auto"/>
            <w:noWrap/>
            <w:vAlign w:val="bottom"/>
            <w:hideMark/>
          </w:tcPr>
          <w:p w:rsidRPr="005F6270" w:rsidR="005F6270" w:rsidP="005F6270" w:rsidRDefault="005F6270" w14:paraId="0B86B5B5" w14:textId="77777777">
            <w:pPr>
              <w:spacing w:after="0" w:line="240" w:lineRule="auto"/>
              <w:rPr>
                <w:rFonts w:ascii="Times New Roman" w:hAnsi="Times New Roman" w:eastAsia="Times New Roman" w:cs="Times New Roman"/>
                <w:sz w:val="20"/>
                <w:szCs w:val="20"/>
              </w:rPr>
            </w:pPr>
          </w:p>
        </w:tc>
      </w:tr>
    </w:tbl>
    <w:p w:rsidR="005F6270" w:rsidRDefault="005F6270" w14:paraId="5C58AFE9" w14:textId="77777777"/>
    <w:p w:rsidR="00C6282F" w:rsidRDefault="005F6270" w14:paraId="49889298" w14:textId="018025B2">
      <w:r>
        <w:t xml:space="preserve">The relevant language regarding each financial test is included below. </w:t>
      </w:r>
    </w:p>
    <w:p w:rsidRPr="00732873" w:rsidR="00732873" w:rsidP="00732873" w:rsidRDefault="00732873" w14:paraId="745852DF" w14:textId="426C6043">
      <w:pPr>
        <w:rPr>
          <w:rFonts w:cstheme="minorHAnsi"/>
          <w:b/>
          <w:bCs/>
          <w:i/>
          <w:iCs/>
        </w:rPr>
      </w:pPr>
      <w:r>
        <w:rPr>
          <w:rFonts w:cstheme="minorHAnsi"/>
          <w:b/>
          <w:bCs/>
          <w:i/>
          <w:iCs/>
        </w:rPr>
        <w:t>Amended and Restated Revolving Credit Agreement dated February 20, 2025</w:t>
      </w:r>
      <w:r w:rsidR="00D82461">
        <w:rPr>
          <w:rFonts w:cstheme="minorHAnsi"/>
          <w:b/>
          <w:bCs/>
          <w:i/>
          <w:iCs/>
        </w:rPr>
        <w:t xml:space="preserve"> and Revolving Credit Agreement dated February 20, 2025:</w:t>
      </w:r>
    </w:p>
    <w:p w:rsidRPr="00732873" w:rsidR="00732873" w:rsidP="00D82461" w:rsidRDefault="00732873" w14:paraId="69632EE4" w14:textId="77777777">
      <w:pPr>
        <w:pStyle w:val="Heading2"/>
        <w:numPr>
          <w:ilvl w:val="0"/>
          <w:numId w:val="0"/>
        </w:numPr>
        <w:ind w:left="720"/>
        <w:rPr>
          <w:rFonts w:asciiTheme="minorHAnsi" w:hAnsiTheme="minorHAnsi" w:cstheme="minorHAnsi"/>
          <w:vanish/>
          <w:color w:val="000000"/>
          <w:specVanish/>
        </w:rPr>
      </w:pPr>
      <w:r w:rsidRPr="00732873">
        <w:rPr>
          <w:rFonts w:asciiTheme="minorHAnsi" w:hAnsiTheme="minorHAnsi" w:cstheme="minorHAnsi"/>
          <w:b/>
        </w:rPr>
        <w:t>Debt to Total Capitalization Ratio.</w:t>
      </w:r>
    </w:p>
    <w:p w:rsidR="00732873" w:rsidP="00D82461" w:rsidRDefault="00732873" w14:paraId="7BB70A0E" w14:textId="1D0AC1DD">
      <w:pPr>
        <w:pStyle w:val="BodyText"/>
        <w:ind w:left="720"/>
      </w:pPr>
      <w:r w:rsidRPr="00732873">
        <w:rPr>
          <w:rFonts w:asciiTheme="minorHAnsi" w:hAnsiTheme="minorHAnsi" w:cstheme="minorHAnsi"/>
        </w:rPr>
        <w:t xml:space="preserve">  </w:t>
      </w:r>
      <w:r>
        <w:t xml:space="preserve">The Borrower will not, as of the end of each quarter of each of its fiscal years, permit the ratio of its Consolidated Senior Debt to its Consolidated Total Capitalization to be greater than 0.65 to 1.00. </w:t>
      </w:r>
      <w:bookmarkStart w:name="_DV_C875" w:id="0"/>
      <w:bookmarkEnd w:id="0"/>
    </w:p>
    <w:p w:rsidR="00732873" w:rsidP="00D82461" w:rsidRDefault="00732873" w14:paraId="3B038CB7" w14:textId="77777777">
      <w:pPr>
        <w:pStyle w:val="BodyText"/>
        <w:ind w:left="720"/>
      </w:pPr>
      <w:r>
        <w:t>“</w:t>
      </w:r>
      <w:r>
        <w:rPr>
          <w:b/>
          <w:i/>
        </w:rPr>
        <w:t>Consolidated Senior Debt</w:t>
      </w:r>
      <w:r>
        <w:t>” shall mean the Senior Debt (other than the Qualified Transition Bonds and any other Non-Recourse Indebtedness) of the Borrower and its Consolidated Subsidiaries determined on a consolidated basis.</w:t>
      </w:r>
    </w:p>
    <w:p w:rsidR="00732873" w:rsidP="00D82461" w:rsidRDefault="00732873" w14:paraId="123A0D45" w14:textId="77777777">
      <w:pPr>
        <w:pStyle w:val="BodyText"/>
        <w:ind w:left="720"/>
      </w:pPr>
      <w:bookmarkStart w:name="ElPgBr18" w:id="1"/>
      <w:bookmarkEnd w:id="1"/>
      <w:r>
        <w:t>“</w:t>
      </w:r>
      <w:r>
        <w:rPr>
          <w:b/>
          <w:i/>
        </w:rPr>
        <w:t>Consolidated Shareholders’ Equity</w:t>
      </w:r>
      <w:r>
        <w:t>” shall mean the sum (without duplication) of (</w:t>
      </w:r>
      <w:proofErr w:type="spellStart"/>
      <w:r>
        <w:t>i</w:t>
      </w:r>
      <w:proofErr w:type="spellEnd"/>
      <w:r>
        <w:t>) total common Equity Interests or common members’ interest plus (ii) preferred and preference stock or preferred members’ interest not subject to mandatory redemption, each (in the case of clauses (</w:t>
      </w:r>
      <w:proofErr w:type="spellStart"/>
      <w:r>
        <w:t>i</w:t>
      </w:r>
      <w:proofErr w:type="spellEnd"/>
      <w:r>
        <w:t xml:space="preserve">) and (ii)) determined with respect to the Borrower and its Consolidated Subsidiaries on a consolidated basis, plus (iii) Equity-Credit Preferred Securities in an aggregate liquidation preference amount not in excess of $1,000,000,000; </w:t>
      </w:r>
      <w:r>
        <w:rPr>
          <w:iCs/>
        </w:rPr>
        <w:t>provided, however,</w:t>
      </w:r>
      <w:r>
        <w:t xml:space="preserve"> that in computing Consolidated Shareholders’ Equity at any time, the following shall be added to the extent that the following decreased total common members’ interest:  any cash and non-cash charges, in an amount of up to $250,000,000 (calculated on an aggregate basis throughout the term of this Agreement), as a result of (x) rulings by state regulatory bodies having jurisdiction over the Borrower or its Consolidated Subsidiaries and (y) the early retirement, repurchase or termination of debt or other securities or financing arrangements, including premiums, relating to liability management activities.</w:t>
      </w:r>
    </w:p>
    <w:p w:rsidR="00D82461" w:rsidP="00D82461" w:rsidRDefault="00D82461" w14:paraId="40DD45EB" w14:textId="77777777">
      <w:pPr>
        <w:pStyle w:val="BodyText"/>
        <w:ind w:left="720"/>
      </w:pPr>
      <w:r>
        <w:t>“</w:t>
      </w:r>
      <w:r>
        <w:rPr>
          <w:b/>
          <w:i/>
        </w:rPr>
        <w:t>Consolidated Subsidiary</w:t>
      </w:r>
      <w:r>
        <w:t xml:space="preserve">” of any Person shall mean at any date any Subsidiary or other entity the accounts of which would be consolidated with those of such Person in such Person’s consolidated financial statements as of such date; </w:t>
      </w:r>
      <w:r>
        <w:rPr>
          <w:iCs/>
        </w:rPr>
        <w:t>provided, however,</w:t>
      </w:r>
      <w:r>
        <w:t xml:space="preserve"> that Qualified Transition Bond Issuers and Subsidiaries of Qualified Transition Bond Issuers shall not be deemed to be Consolidated Subsidiaries of the Borrower.</w:t>
      </w:r>
    </w:p>
    <w:p w:rsidR="00732873" w:rsidP="00D82461" w:rsidRDefault="00732873" w14:paraId="3AB3CDFB" w14:textId="1EF1EE3A">
      <w:pPr>
        <w:pStyle w:val="BodyText"/>
        <w:ind w:left="720"/>
      </w:pPr>
      <w:r>
        <w:t>“</w:t>
      </w:r>
      <w:r>
        <w:rPr>
          <w:b/>
          <w:i/>
        </w:rPr>
        <w:t>Consolidated Total Capitalization</w:t>
      </w:r>
      <w:r>
        <w:t>” shall mean the sum of (</w:t>
      </w:r>
      <w:proofErr w:type="spellStart"/>
      <w:r>
        <w:t>i</w:t>
      </w:r>
      <w:proofErr w:type="spellEnd"/>
      <w:r>
        <w:t>) Consolidated Shareholders’ Equity, (ii) Consolidated Senior Debt and (iii) Subordinated Obligations excluded from the calculation of Senior Debt.</w:t>
      </w:r>
    </w:p>
    <w:p w:rsidR="00732873" w:rsidP="00D82461" w:rsidRDefault="00732873" w14:paraId="7C6281BD" w14:textId="77777777">
      <w:pPr>
        <w:pStyle w:val="BodyText"/>
        <w:ind w:left="720"/>
      </w:pPr>
      <w:r>
        <w:t>“</w:t>
      </w:r>
      <w:r>
        <w:rPr>
          <w:b/>
          <w:i/>
        </w:rPr>
        <w:t>Equity-Credit Preferred Securities</w:t>
      </w:r>
      <w:r>
        <w:t>” shall mean securities, however denominated, (</w:t>
      </w:r>
      <w:proofErr w:type="spellStart"/>
      <w:r>
        <w:t>i</w:t>
      </w:r>
      <w:proofErr w:type="spellEnd"/>
      <w:r>
        <w:t xml:space="preserve">) issued by the Borrower or a Consolidated Subsidiary of the Borrower, (ii) that are not subject to mandatory redemption or the underlying securities, if any, of which are not subject to mandatory redemption, (iii) that are perpetual or mature no less than 30 years </w:t>
      </w:r>
      <w:r>
        <w:lastRenderedPageBreak/>
        <w:t xml:space="preserve">from the date of issuance, (iv) the indebtedness issued in connection with which, including any guaranty, is subordinate in right of payment to the unsecured and unsubordinated indebtedness of the issuer of such indebtedness or guaranty, and (v) the terms of which permit the deferral of the payment of interest or </w:t>
      </w:r>
      <w:bookmarkStart w:name="ElPgBr22" w:id="2"/>
      <w:bookmarkEnd w:id="2"/>
      <w:r>
        <w:t>distributions thereon to a date occurring after the latest Commitment Termination Date of the Lenders.</w:t>
      </w:r>
    </w:p>
    <w:p w:rsidR="00732873" w:rsidP="00D82461" w:rsidRDefault="00732873" w14:paraId="4B0B6781" w14:textId="77777777">
      <w:pPr>
        <w:pStyle w:val="BodyText"/>
        <w:ind w:left="720"/>
      </w:pPr>
      <w:r>
        <w:t>“</w:t>
      </w:r>
      <w:r>
        <w:rPr>
          <w:b/>
          <w:i/>
        </w:rPr>
        <w:t>Non-Recourse Indebtedness</w:t>
      </w:r>
      <w:r>
        <w:t>” shall mean, at any time, Indebtedness incurred by the Borrower or any of its Subsidiaries in connection with the acquisition of property or assets by the Borrower or such Subsidiary or the financing of the construction of or improvements on property, whenever acquired, that, under the terms of such Indebtedness and pursuant to Applicable Law, the recourse at such time and thereafter of the lenders with respect to such Indebtedness is limited solely to the assets and Equity Interests of the special purpose vehicle that incurred such Indebtedness or to the property or assets so acquired, or such construction or improvements, and any accession or additions thereto and proceeds thereof, including Indebtedness as to which a performance or completion guarantee or similar undertaking was initially applicable to such Indebtedness or the related property or assets if such guarantee or similar undertaking has been satisfied and is no longer in effect at such time; provided, however, that Indebtedness which is otherwise Non-Recourse Indebtedness will not lose its character as Non-Recourse Indebtedness because there is recourse to the Borrower, any of its Subsidiaries or any other Person for (a) environmental representations, warranties or indemnities, (b) indemnities for and liabilities arising from (</w:t>
      </w:r>
      <w:proofErr w:type="spellStart"/>
      <w:r>
        <w:t>i</w:t>
      </w:r>
      <w:proofErr w:type="spellEnd"/>
      <w:r>
        <w:t>) fraud, (ii) misrepresentation, (iii) misapplication or non-payment of rents, profits, insurance and condemnation proceeds and other sums actually received from secured assets to be paid to the lender, (iv) waste, (v) materialmen’s and mechanics’ liens or (vi) similar matters (including, without limitation, guarantees of liabilities in respect of the foregoing clauses (</w:t>
      </w:r>
      <w:proofErr w:type="spellStart"/>
      <w:r>
        <w:t>i</w:t>
      </w:r>
      <w:proofErr w:type="spellEnd"/>
      <w:r>
        <w:t>) through (vi), which are referred to herein as “</w:t>
      </w:r>
      <w:r>
        <w:rPr>
          <w:b/>
          <w:i/>
        </w:rPr>
        <w:t>non-recourse carveout liabilities</w:t>
      </w:r>
      <w:r>
        <w:t>”) or (c) equity commitments that are customary and of a type consistent with other limited recourse project financings, and other limited guarantees and other contractual carve-outs to the non-recourse nature of such Indebtedness that are customary and consistent with other limited recourse project financings, in each case as determined reasonably and in good faith by the Borrower; provided, that any such guarantees (for the avoidance of doubt, other than guarantees of non-recourse carveout liabilities) shall not exceed 15% in the aggregate of any such Indebtedness.</w:t>
      </w:r>
    </w:p>
    <w:p w:rsidR="00D82461" w:rsidP="00D82461" w:rsidRDefault="00D82461" w14:paraId="7BA168CA" w14:textId="77777777">
      <w:pPr>
        <w:pStyle w:val="BodyText"/>
        <w:ind w:left="720"/>
      </w:pPr>
      <w:r>
        <w:t>“</w:t>
      </w:r>
      <w:r>
        <w:rPr>
          <w:b/>
          <w:i/>
        </w:rPr>
        <w:t>Qualified Transition Bond Issuer</w:t>
      </w:r>
      <w:r>
        <w:t>” shall mean, with respect to the Borrower, (</w:t>
      </w:r>
      <w:proofErr w:type="spellStart"/>
      <w:r>
        <w:t>i</w:t>
      </w:r>
      <w:proofErr w:type="spellEnd"/>
      <w:r>
        <w:t>) the Borrower, (ii) a Subsidiary of the Borrower formed and operating solely for the purpose of (A) purchasing and owning transition property created under a “financing order” (as such term is defined in the Texas Utilities Code) issued by the PUCT, (B) issuing such securities pursuant to such order, (C) pledging its interests in such transition property to secure such securities and (D) engaging in activities ancillary to those described in clauses (A), (B) and (C) above or (iii) any directly or indirectly held Subsidiary of the Borrower formed and operating for purposes that include owning a Person identified in clause (ii) above.</w:t>
      </w:r>
    </w:p>
    <w:p w:rsidR="00732873" w:rsidP="00D82461" w:rsidRDefault="00732873" w14:paraId="72BAA199" w14:textId="77777777">
      <w:pPr>
        <w:pStyle w:val="BodyText"/>
        <w:ind w:left="720"/>
      </w:pPr>
      <w:r>
        <w:t>“</w:t>
      </w:r>
      <w:r>
        <w:rPr>
          <w:b/>
          <w:i/>
        </w:rPr>
        <w:t>Qualified Transition Bonds</w:t>
      </w:r>
      <w:r>
        <w:t>” of the Borrower shall mean securities, however denominated, that are (</w:t>
      </w:r>
      <w:proofErr w:type="spellStart"/>
      <w:r>
        <w:t>i</w:t>
      </w:r>
      <w:proofErr w:type="spellEnd"/>
      <w:r>
        <w:t xml:space="preserve">) issued by a Qualified Transition Bond Issuer, (ii) secured by or otherwise payable from transition charges or system restoration charges authorized pursuant to the financing order referred to in clause (ii) (A) of the definition of “Qualified </w:t>
      </w:r>
      <w:r>
        <w:lastRenderedPageBreak/>
        <w:t>Transition Bond Issuer”, and (iii) non-recourse to the Borrower or any of its Consolidated Subsidiaries (other than the issuer of such securities).</w:t>
      </w:r>
    </w:p>
    <w:p w:rsidR="00D82461" w:rsidP="00D82461" w:rsidRDefault="00D82461" w14:paraId="5D7166C9" w14:textId="77777777">
      <w:pPr>
        <w:pStyle w:val="BodyText"/>
        <w:ind w:left="720"/>
      </w:pPr>
      <w:r>
        <w:rPr>
          <w:b/>
          <w:i/>
        </w:rPr>
        <w:t>Senior Debt</w:t>
      </w:r>
      <w:r>
        <w:t>” of any Person shall mean (without duplication) (</w:t>
      </w:r>
      <w:proofErr w:type="spellStart"/>
      <w:r>
        <w:t>i</w:t>
      </w:r>
      <w:proofErr w:type="spellEnd"/>
      <w:r>
        <w:t>) all Indebtedness of such Person described in clauses (</w:t>
      </w:r>
      <w:proofErr w:type="spellStart"/>
      <w:r>
        <w:t>i</w:t>
      </w:r>
      <w:proofErr w:type="spellEnd"/>
      <w:r>
        <w:t>) through (iii) of the definition of “Indebtedness,” (ii) all Indebtedness of such Person described in clause (iv) of the definition of “Indebtedness” in respect of unreimbursed drawings under letters of credit described in such clause (iv), and (iii) all direct or indirect guaranties of such Person in respect of, and to purchase or otherwise acquire, or otherwise to assure a creditor against loss in respect of, liabilities, obligations or indebtedness of others of the kinds referred to in clauses (</w:t>
      </w:r>
      <w:proofErr w:type="spellStart"/>
      <w:r>
        <w:t>i</w:t>
      </w:r>
      <w:proofErr w:type="spellEnd"/>
      <w:r>
        <w:t xml:space="preserve">) and (ii) above; </w:t>
      </w:r>
      <w:r>
        <w:rPr>
          <w:iCs/>
        </w:rPr>
        <w:t>provided, however</w:t>
      </w:r>
      <w:r>
        <w:t>, that in calculating “Senior Debt” of the Borrower, (x) any amount of Equity-Credit Preferred Securities not included in the definition of “Consolidated Shareholders Equity” shall be included and (y) all Subordinated Obligations shall be excluded.</w:t>
      </w:r>
    </w:p>
    <w:p w:rsidR="00D82461" w:rsidP="00D82461" w:rsidRDefault="00D82461" w14:paraId="6E095829" w14:textId="77777777">
      <w:pPr>
        <w:pStyle w:val="BodyText"/>
        <w:ind w:left="720"/>
      </w:pPr>
      <w:r>
        <w:t>“</w:t>
      </w:r>
      <w:r>
        <w:rPr>
          <w:b/>
          <w:i/>
        </w:rPr>
        <w:t>Subordinated Obligations</w:t>
      </w:r>
      <w:r>
        <w:t>” shall mean obligations of any Person that are subordinate in right of payment and enforcement to the prior payment of the Obligations arising under the Credit Documents on the terms set forth in Schedule 5.12 or such other terms as are acceptable to the Required Lenders.</w:t>
      </w:r>
    </w:p>
    <w:p w:rsidR="001C1748" w:rsidP="001C1748" w:rsidRDefault="001C1748" w14:paraId="2E2088B3" w14:textId="77777777">
      <w:pPr>
        <w:rPr>
          <w:rFonts w:cstheme="minorHAnsi"/>
          <w:b/>
          <w:bCs/>
          <w:i/>
          <w:iCs/>
        </w:rPr>
      </w:pPr>
      <w:r>
        <w:rPr>
          <w:rFonts w:cstheme="minorHAnsi"/>
          <w:b/>
          <w:bCs/>
          <w:i/>
          <w:iCs/>
        </w:rPr>
        <w:t>Receivables Financing Agreement, dated as of April 28, 2023, as amended:</w:t>
      </w:r>
    </w:p>
    <w:p w:rsidR="001C1748" w:rsidP="001C1748" w:rsidRDefault="001C1748" w14:paraId="3128FD57" w14:textId="77777777">
      <w:pPr>
        <w:pStyle w:val="ArticleL2"/>
        <w:numPr>
          <w:ilvl w:val="0"/>
          <w:numId w:val="0"/>
        </w:numPr>
        <w:ind w:firstLine="720"/>
        <w:rPr>
          <w:vanish/>
          <w:specVanish/>
        </w:rPr>
      </w:pPr>
      <w:bookmarkStart w:name="_Toc132902211" w:id="3"/>
      <w:r>
        <w:rPr>
          <w:u w:val="single"/>
        </w:rPr>
        <w:t>Events of Default</w:t>
      </w:r>
      <w:bookmarkEnd w:id="3"/>
    </w:p>
    <w:p w:rsidR="001C1748" w:rsidP="001C1748" w:rsidRDefault="001C1748" w14:paraId="0C8BC2EF" w14:textId="77777777">
      <w:pPr>
        <w:pStyle w:val="ArticlePara2"/>
      </w:pPr>
      <w:r>
        <w:t>.  If any of the following events (each an “</w:t>
      </w:r>
      <w:r>
        <w:rPr>
          <w:rStyle w:val="MBPCUnderline"/>
        </w:rPr>
        <w:t>Event of Default</w:t>
      </w:r>
      <w:r>
        <w:t>”) shall occur:</w:t>
      </w:r>
    </w:p>
    <w:p w:rsidR="001C1748" w:rsidP="001C1748" w:rsidRDefault="001C1748" w14:paraId="68C1F382" w14:textId="77777777">
      <w:pPr>
        <w:ind w:firstLine="720"/>
      </w:pPr>
      <w:r>
        <w:t xml:space="preserve">(x) Oncor shall fail to satisfy the Credit Agreement Financial Covenant.  </w:t>
      </w:r>
    </w:p>
    <w:p w:rsidRPr="001C1748" w:rsidR="001C1748" w:rsidP="001C1748" w:rsidRDefault="001C1748" w14:paraId="03BB8014" w14:textId="77777777">
      <w:pPr>
        <w:ind w:firstLine="720"/>
        <w:rPr>
          <w:rFonts w:cstheme="minorHAnsi"/>
        </w:rPr>
      </w:pPr>
      <w:r>
        <w:t xml:space="preserve">“Credit Agreement Financial Covenant” refers to the </w:t>
      </w:r>
    </w:p>
    <w:p w:rsidRPr="00732873" w:rsidR="00D26C1B" w:rsidP="00D26C1B" w:rsidRDefault="00D26C1B" w14:paraId="779E477B" w14:textId="6B4CA94A">
      <w:pPr>
        <w:rPr>
          <w:rFonts w:cstheme="minorHAnsi"/>
          <w:b/>
          <w:bCs/>
          <w:i/>
          <w:iCs/>
        </w:rPr>
      </w:pPr>
      <w:r>
        <w:rPr>
          <w:rFonts w:cstheme="minorHAnsi"/>
          <w:b/>
          <w:bCs/>
          <w:i/>
          <w:iCs/>
        </w:rPr>
        <w:t>Revolving Credit Agreement dated February 21, 2024:</w:t>
      </w:r>
    </w:p>
    <w:p w:rsidR="00D26C1B" w:rsidP="00D26C1B" w:rsidRDefault="00D26C1B" w14:paraId="7990A4ED" w14:textId="2E2F2D10">
      <w:pPr>
        <w:pStyle w:val="Heading2"/>
        <w:numPr>
          <w:ilvl w:val="0"/>
          <w:numId w:val="0"/>
        </w:numPr>
        <w:ind w:left="720"/>
      </w:pPr>
      <w:r>
        <w:rPr>
          <w:u w:val="single"/>
        </w:rPr>
        <w:t>Debt to Total Capitalization Ratio</w:t>
      </w:r>
      <w:r>
        <w:t xml:space="preserve">.  The Borrower will not, as of the end of each quarter of each of its fiscal years, permit the ratio of its Consolidated Senior Debt to its Consolidated Total Capitalization to be greater than 0.65 to 1.00. </w:t>
      </w:r>
    </w:p>
    <w:p w:rsidR="00D26C1B" w:rsidP="00D26C1B" w:rsidRDefault="00D26C1B" w14:paraId="6BFCD760" w14:textId="77777777">
      <w:pPr>
        <w:pStyle w:val="BodyText"/>
        <w:ind w:left="720"/>
      </w:pPr>
      <w:r>
        <w:t>“</w:t>
      </w:r>
      <w:r>
        <w:rPr>
          <w:b/>
          <w:i/>
        </w:rPr>
        <w:t>Consolidated Senior Debt</w:t>
      </w:r>
      <w:r>
        <w:t>” shall mean the Senior Debt (other than the Qualified Transition Bonds) of the Borrower and its Consolidated Subsidiaries determined on a consolidated basis.</w:t>
      </w:r>
    </w:p>
    <w:p w:rsidR="00D26C1B" w:rsidP="00D26C1B" w:rsidRDefault="00D26C1B" w14:paraId="5DDF7589" w14:textId="77777777">
      <w:pPr>
        <w:pStyle w:val="BodyText"/>
        <w:ind w:left="720"/>
      </w:pPr>
      <w:r>
        <w:t>“</w:t>
      </w:r>
      <w:r>
        <w:rPr>
          <w:b/>
          <w:i/>
        </w:rPr>
        <w:t>Consolidated Shareholders’ Equity</w:t>
      </w:r>
      <w:r>
        <w:t>” shall mean the sum (without duplication) of (</w:t>
      </w:r>
      <w:proofErr w:type="spellStart"/>
      <w:r>
        <w:t>i</w:t>
      </w:r>
      <w:proofErr w:type="spellEnd"/>
      <w:r>
        <w:t>) total common Equity Interests or common members’ interest plus (ii) preferred and preference stock or preferred members’ interest not subject to mandatory redemption, each (in the case of clauses (</w:t>
      </w:r>
      <w:proofErr w:type="spellStart"/>
      <w:r>
        <w:t>i</w:t>
      </w:r>
      <w:proofErr w:type="spellEnd"/>
      <w:r>
        <w:t xml:space="preserve">) and (ii)) determined with respect to the Borrower and its Consolidated Subsidiaries on a consolidated basis, plus (iii) Equity-Credit Preferred Securities in an aggregate liquidation preference amount not in excess of $1,000,000,000; </w:t>
      </w:r>
      <w:r>
        <w:rPr>
          <w:iCs/>
        </w:rPr>
        <w:t>provided, however,</w:t>
      </w:r>
      <w:r>
        <w:t xml:space="preserve"> that in computing Consolidated Shareholders’ Equity at any time, the following shall be added to the extent that the following decreased total common members’ interest:  any cash and non-cash charges, in an amount of up to $250,000,000 (calculated on an aggregate basis throughout the term of this Agreement), as a result of (x) rulings by state regulatory bodies having jurisdiction over the Borrower or its Consolidated Subsidiaries </w:t>
      </w:r>
      <w:r>
        <w:lastRenderedPageBreak/>
        <w:t>and (y) the early retirement, repurchase or termination of debt or other securities or financing arrangements, including premiums, relating to liability management activities.</w:t>
      </w:r>
    </w:p>
    <w:p w:rsidR="00D26C1B" w:rsidP="00D26C1B" w:rsidRDefault="00D26C1B" w14:paraId="60ACE5C1" w14:textId="77777777">
      <w:pPr>
        <w:pStyle w:val="BodyText"/>
        <w:ind w:left="720"/>
      </w:pPr>
      <w:r>
        <w:t>“</w:t>
      </w:r>
      <w:r>
        <w:rPr>
          <w:b/>
          <w:i/>
        </w:rPr>
        <w:t>Consolidated Subsidiary</w:t>
      </w:r>
      <w:r>
        <w:t xml:space="preserve">” of any Person shall mean at any date any Subsidiary or other entity the accounts of which would be consolidated with those of such Person in such Person’s consolidated financial statements as of such date; </w:t>
      </w:r>
      <w:r>
        <w:rPr>
          <w:iCs/>
        </w:rPr>
        <w:t>provided, however,</w:t>
      </w:r>
      <w:r>
        <w:t xml:space="preserve"> that Qualified Transition Bond Issuers and Subsidiaries of Qualified Transition Bond Issuers shall not be deemed to be Consolidated Subsidiaries of the Borrower.</w:t>
      </w:r>
    </w:p>
    <w:p w:rsidR="00D26C1B" w:rsidP="00D26C1B" w:rsidRDefault="00D26C1B" w14:paraId="63F706E9" w14:textId="6BB0B129">
      <w:pPr>
        <w:pStyle w:val="BodyText"/>
        <w:ind w:left="720"/>
      </w:pPr>
      <w:r>
        <w:t>“</w:t>
      </w:r>
      <w:r>
        <w:rPr>
          <w:b/>
          <w:i/>
        </w:rPr>
        <w:t>Consolidated Total Capitalization</w:t>
      </w:r>
      <w:r>
        <w:t>” shall mean the sum of (</w:t>
      </w:r>
      <w:proofErr w:type="spellStart"/>
      <w:r>
        <w:t>i</w:t>
      </w:r>
      <w:proofErr w:type="spellEnd"/>
      <w:r>
        <w:t>) Consolidated Shareholders’ Equity, (ii) Consolidated Senior Debt and (iii) Subordinated Obligations excluded from the calculation of Senior Debt.</w:t>
      </w:r>
    </w:p>
    <w:p w:rsidR="00D26C1B" w:rsidP="00D26C1B" w:rsidRDefault="00D26C1B" w14:paraId="2AE890BC" w14:textId="62C64E63">
      <w:pPr>
        <w:pStyle w:val="BodyText"/>
        <w:ind w:left="720"/>
      </w:pPr>
      <w:r>
        <w:t>“</w:t>
      </w:r>
      <w:r>
        <w:rPr>
          <w:b/>
          <w:i/>
        </w:rPr>
        <w:t>Equity-Credit Preferred Securities</w:t>
      </w:r>
      <w:r>
        <w:t>” shall mean securities, however denominated, (</w:t>
      </w:r>
      <w:proofErr w:type="spellStart"/>
      <w:r>
        <w:t>i</w:t>
      </w:r>
      <w:proofErr w:type="spellEnd"/>
      <w:r>
        <w:t>) issued by the Borrower or a Consolidated Subsidiary of the Borrower, (ii) that are not subject to mandatory redemption or the underlying securities, if any, of which are not subject to mandatory redemption, (iii) that are perpetual or mature no less than 30 years from the date of issuance, (iv) the indebtedness issued in connection with which, including any guaranty, is subordinate in right of payment to the unsecured and unsubordinated indebtedness of the issuer of such indebtedness or guaranty, and (v) the terms of which permit the deferral of the payment of interest or distributions thereon to a date occurring after the latest Commitment Termination Date of the Lenders.</w:t>
      </w:r>
    </w:p>
    <w:p w:rsidR="00D26C1B" w:rsidP="00D26C1B" w:rsidRDefault="00D26C1B" w14:paraId="376C4249" w14:textId="77777777">
      <w:pPr>
        <w:pStyle w:val="BodyText"/>
        <w:ind w:left="720"/>
      </w:pPr>
      <w:r>
        <w:t>“</w:t>
      </w:r>
      <w:r>
        <w:rPr>
          <w:b/>
          <w:i/>
        </w:rPr>
        <w:t>Senior Debt</w:t>
      </w:r>
      <w:r>
        <w:t>” of any Person shall mean (without duplication) (</w:t>
      </w:r>
      <w:proofErr w:type="spellStart"/>
      <w:r>
        <w:t>i</w:t>
      </w:r>
      <w:proofErr w:type="spellEnd"/>
      <w:r>
        <w:t>) all Indebtedness of such Person described in clauses (</w:t>
      </w:r>
      <w:proofErr w:type="spellStart"/>
      <w:r>
        <w:t>i</w:t>
      </w:r>
      <w:proofErr w:type="spellEnd"/>
      <w:r>
        <w:t xml:space="preserve">) through (iii) of the </w:t>
      </w:r>
      <w:r w:rsidRPr="000D31D7">
        <w:t xml:space="preserve">definition of </w:t>
      </w:r>
      <w:r>
        <w:t>“</w:t>
      </w:r>
      <w:r w:rsidRPr="000D31D7">
        <w:t>Indebtedness,</w:t>
      </w:r>
      <w:r>
        <w:t>”</w:t>
      </w:r>
      <w:r w:rsidRPr="000D31D7">
        <w:t xml:space="preserve"> (ii) all Indebtedness of such Person described in clause (iv) of the definition of </w:t>
      </w:r>
      <w:r>
        <w:t>“</w:t>
      </w:r>
      <w:r w:rsidRPr="000D31D7">
        <w:t>Indebtedness</w:t>
      </w:r>
      <w:r>
        <w:t>”</w:t>
      </w:r>
      <w:r w:rsidRPr="000D31D7">
        <w:t xml:space="preserve"> in respect of unreimbursed drawings under letters of credit described in such clause (iv),</w:t>
      </w:r>
      <w:r>
        <w:t xml:space="preserve"> and (iii) all direct or indirect guaranties of such Person in respect of, and to purchase or otherwise acquire, or otherwise to assure a creditor against loss in respect of, liabilities, obligations or indebtedness of others of the kinds referred to in clauses (</w:t>
      </w:r>
      <w:proofErr w:type="spellStart"/>
      <w:r>
        <w:t>i</w:t>
      </w:r>
      <w:proofErr w:type="spellEnd"/>
      <w:r>
        <w:t xml:space="preserve">) and (ii) above; </w:t>
      </w:r>
      <w:r>
        <w:rPr>
          <w:iCs/>
        </w:rPr>
        <w:t>provided, however</w:t>
      </w:r>
      <w:r>
        <w:t>, that in calculating “Senior Debt” of the Borrower, (x) any amount of Equity-Credit Preferred Securities not included in the definition of “Consolidated Shareholders Equity” shall be included and (y) all Subordinated Obligations shall be excluded.</w:t>
      </w:r>
    </w:p>
    <w:p w:rsidR="00D26C1B" w:rsidP="00D26C1B" w:rsidRDefault="00D26C1B" w14:paraId="27586769" w14:textId="77777777">
      <w:pPr>
        <w:pStyle w:val="BodyText"/>
        <w:ind w:left="720"/>
      </w:pPr>
      <w:r>
        <w:t>“</w:t>
      </w:r>
      <w:r>
        <w:rPr>
          <w:b/>
          <w:i/>
        </w:rPr>
        <w:t>Subordinated Obligations</w:t>
      </w:r>
      <w:r>
        <w:t>” shall mean obligations of any Person that are subordinate in right of payment and enforcement to the prior payment of the Obligations arising under the Credit Documents on the terms set forth in Schedule 5.12 or such other terms as are acceptable to the Required Lenders.</w:t>
      </w:r>
    </w:p>
    <w:p w:rsidRPr="00732873" w:rsidR="005F6270" w:rsidRDefault="00D26C1B" w14:paraId="78BFB3CD" w14:textId="4ED3B21C">
      <w:pPr>
        <w:rPr>
          <w:rFonts w:cstheme="minorHAnsi"/>
          <w:b/>
          <w:bCs/>
          <w:i/>
          <w:iCs/>
        </w:rPr>
      </w:pPr>
      <w:r>
        <w:rPr>
          <w:rFonts w:cstheme="minorHAnsi"/>
          <w:b/>
          <w:bCs/>
          <w:i/>
          <w:iCs/>
        </w:rPr>
        <w:t>N</w:t>
      </w:r>
      <w:r w:rsidRPr="00732873" w:rsidR="00732873">
        <w:rPr>
          <w:rFonts w:cstheme="minorHAnsi"/>
          <w:b/>
          <w:bCs/>
          <w:i/>
          <w:iCs/>
        </w:rPr>
        <w:t>ote Purchase Agreements dated (</w:t>
      </w:r>
      <w:proofErr w:type="spellStart"/>
      <w:r w:rsidRPr="00732873" w:rsidR="00732873">
        <w:rPr>
          <w:rFonts w:cstheme="minorHAnsi"/>
          <w:b/>
          <w:bCs/>
          <w:i/>
          <w:iCs/>
        </w:rPr>
        <w:t>i</w:t>
      </w:r>
      <w:proofErr w:type="spellEnd"/>
      <w:r w:rsidRPr="00732873" w:rsidR="00732873">
        <w:rPr>
          <w:rFonts w:cstheme="minorHAnsi"/>
          <w:b/>
          <w:bCs/>
          <w:i/>
          <w:iCs/>
        </w:rPr>
        <w:t xml:space="preserve">) </w:t>
      </w:r>
      <w:r w:rsidR="00732873">
        <w:rPr>
          <w:rFonts w:cstheme="minorHAnsi"/>
          <w:b/>
          <w:bCs/>
          <w:i/>
          <w:iCs/>
        </w:rPr>
        <w:t>March 29, 2023</w:t>
      </w:r>
      <w:r w:rsidRPr="00732873" w:rsidR="00732873">
        <w:rPr>
          <w:rFonts w:cstheme="minorHAnsi"/>
          <w:b/>
          <w:bCs/>
          <w:i/>
          <w:iCs/>
        </w:rPr>
        <w:t>, (ii) March 27, 2024, and (iii) January</w:t>
      </w:r>
      <w:r w:rsidR="00732873">
        <w:rPr>
          <w:rFonts w:cstheme="minorHAnsi"/>
          <w:b/>
          <w:bCs/>
          <w:i/>
          <w:iCs/>
        </w:rPr>
        <w:t xml:space="preserve"> 30, 2025.</w:t>
      </w:r>
      <w:r w:rsidRPr="00732873" w:rsidR="00732873">
        <w:rPr>
          <w:rFonts w:cstheme="minorHAnsi"/>
          <w:b/>
          <w:bCs/>
          <w:i/>
          <w:iCs/>
        </w:rPr>
        <w:t xml:space="preserve"> </w:t>
      </w:r>
    </w:p>
    <w:p w:rsidRPr="00732873" w:rsidR="005F6270" w:rsidP="00D26C1B" w:rsidRDefault="005F6270" w14:paraId="4298BDF0" w14:textId="77777777">
      <w:pPr>
        <w:pStyle w:val="Heading2"/>
        <w:numPr>
          <w:ilvl w:val="0"/>
          <w:numId w:val="0"/>
        </w:numPr>
        <w:ind w:left="720"/>
        <w:rPr>
          <w:rFonts w:asciiTheme="minorHAnsi" w:hAnsiTheme="minorHAnsi" w:cstheme="minorHAnsi"/>
          <w:vanish/>
          <w:color w:val="000000"/>
          <w:specVanish/>
        </w:rPr>
      </w:pPr>
      <w:bookmarkStart w:name="_Toc159586093" w:id="4"/>
      <w:r w:rsidRPr="00732873">
        <w:rPr>
          <w:rFonts w:asciiTheme="minorHAnsi" w:hAnsiTheme="minorHAnsi" w:cstheme="minorHAnsi"/>
          <w:b/>
        </w:rPr>
        <w:t>Debt to Total Capitalization Ratio.</w:t>
      </w:r>
      <w:bookmarkEnd w:id="4"/>
    </w:p>
    <w:p w:rsidRPr="00732873" w:rsidR="005F6270" w:rsidP="00D26C1B" w:rsidRDefault="005F6270" w14:paraId="78BB656B" w14:textId="4467F557">
      <w:pPr>
        <w:pStyle w:val="BodyText"/>
        <w:ind w:left="720"/>
        <w:rPr>
          <w:rFonts w:asciiTheme="minorHAnsi" w:hAnsiTheme="minorHAnsi" w:cstheme="minorHAnsi"/>
        </w:rPr>
      </w:pPr>
      <w:r w:rsidRPr="00732873">
        <w:rPr>
          <w:rFonts w:asciiTheme="minorHAnsi" w:hAnsiTheme="minorHAnsi" w:cstheme="minorHAnsi"/>
        </w:rPr>
        <w:t xml:space="preserve">  The Company will not, as of the end of each quarter of each of its fiscal years, permit the ratio of its Consolidated Senior Debt to its Consolidated Total Capitalization to be greater than 0.65 to 1.00.</w:t>
      </w:r>
    </w:p>
    <w:p w:rsidRPr="00732873" w:rsidR="005F6270" w:rsidP="00D26C1B" w:rsidRDefault="005F6270" w14:paraId="35600354" w14:textId="3F6C6C3B">
      <w:pPr>
        <w:pStyle w:val="BodyTextFirstIndent"/>
        <w:ind w:left="720" w:firstLine="0"/>
        <w:rPr>
          <w:rFonts w:cstheme="minorHAnsi"/>
        </w:rPr>
      </w:pPr>
      <w:r w:rsidRPr="00732873">
        <w:rPr>
          <w:rFonts w:cstheme="minorHAnsi"/>
        </w:rPr>
        <w:t>“</w:t>
      </w:r>
      <w:r w:rsidRPr="00732873">
        <w:rPr>
          <w:rFonts w:cstheme="minorHAnsi"/>
          <w:b/>
          <w:bCs/>
        </w:rPr>
        <w:t>Consolidated Senior Debt</w:t>
      </w:r>
      <w:r w:rsidRPr="00732873">
        <w:rPr>
          <w:rFonts w:cstheme="minorHAnsi"/>
        </w:rPr>
        <w:t>” means the Senior Debt (other than the Qualified Transition Bonds) of the Company and its Consolidated Subsidiaries determined on a consolidated basis.</w:t>
      </w:r>
    </w:p>
    <w:p w:rsidRPr="00732873" w:rsidR="005F6270" w:rsidP="00D26C1B" w:rsidRDefault="005F6270" w14:paraId="27F1D6B6" w14:textId="77777777">
      <w:pPr>
        <w:pStyle w:val="BodyTextFirstIndent"/>
        <w:ind w:left="720" w:firstLine="0"/>
        <w:rPr>
          <w:rFonts w:cstheme="minorHAnsi"/>
        </w:rPr>
      </w:pPr>
      <w:r w:rsidRPr="00732873">
        <w:rPr>
          <w:rFonts w:cstheme="minorHAnsi"/>
        </w:rPr>
        <w:lastRenderedPageBreak/>
        <w:t>“</w:t>
      </w:r>
      <w:r w:rsidRPr="00732873">
        <w:rPr>
          <w:rFonts w:cstheme="minorHAnsi"/>
          <w:b/>
          <w:bCs/>
        </w:rPr>
        <w:t>Consolidated Shareholders’ Equity</w:t>
      </w:r>
      <w:r w:rsidRPr="00732873">
        <w:rPr>
          <w:rFonts w:cstheme="minorHAnsi"/>
        </w:rPr>
        <w:t>” means the sum (without duplication) of (</w:t>
      </w:r>
      <w:proofErr w:type="spellStart"/>
      <w:r w:rsidRPr="00732873">
        <w:rPr>
          <w:rFonts w:cstheme="minorHAnsi"/>
        </w:rPr>
        <w:t>i</w:t>
      </w:r>
      <w:proofErr w:type="spellEnd"/>
      <w:r w:rsidRPr="00732873">
        <w:rPr>
          <w:rFonts w:cstheme="minorHAnsi"/>
        </w:rPr>
        <w:t>) total common Equity Interests or common members’ interest plus (ii) preferred and preference stock or preferred members’ interest not subject to mandatory redemption, each (in the case of clauses (</w:t>
      </w:r>
      <w:proofErr w:type="spellStart"/>
      <w:r w:rsidRPr="00732873">
        <w:rPr>
          <w:rFonts w:cstheme="minorHAnsi"/>
        </w:rPr>
        <w:t>i</w:t>
      </w:r>
      <w:proofErr w:type="spellEnd"/>
      <w:r w:rsidRPr="00732873">
        <w:rPr>
          <w:rFonts w:cstheme="minorHAnsi"/>
        </w:rPr>
        <w:t>) and (ii)) determined with respect to the Company and its Consolidated Subsidiaries on a consolidated basis, plus (iii) Equity-Credit Preferred Securities in an aggregate liquidation preference amount not in excess of $1,000,000,000; provided, however, that in computing Consolidated Shareholders’ Equity at any time, the following shall be added to the extent that the following decreased total common members’ interest: any cash and non-cash charges, in an amount of up to $250,000,000 (calculated on an aggregate basis throughout the term of this Agreement), as a result of (x) rulings by state regulatory bodies having jurisdiction over the Company or its Consolidated Subsidiaries and (y) the early retirement, repurchase or termination of debt or other securities or financing arrangements, including premiums, relating to liability management activities.</w:t>
      </w:r>
    </w:p>
    <w:p w:rsidRPr="00732873" w:rsidR="005F6270" w:rsidP="00D26C1B" w:rsidRDefault="005F6270" w14:paraId="57A27420" w14:textId="77777777">
      <w:pPr>
        <w:pStyle w:val="BodyTextFirstIndent"/>
        <w:ind w:left="720" w:firstLine="0"/>
        <w:rPr>
          <w:rFonts w:cstheme="minorHAnsi"/>
        </w:rPr>
      </w:pPr>
      <w:r w:rsidRPr="00732873">
        <w:rPr>
          <w:rFonts w:cstheme="minorHAnsi"/>
        </w:rPr>
        <w:t>“</w:t>
      </w:r>
      <w:r w:rsidRPr="00732873">
        <w:rPr>
          <w:rFonts w:cstheme="minorHAnsi"/>
          <w:b/>
          <w:bCs/>
        </w:rPr>
        <w:t>Consolidated Total Capitalization</w:t>
      </w:r>
      <w:r w:rsidRPr="00732873">
        <w:rPr>
          <w:rFonts w:cstheme="minorHAnsi"/>
        </w:rPr>
        <w:t>” shall mean the sum of (</w:t>
      </w:r>
      <w:proofErr w:type="spellStart"/>
      <w:r w:rsidRPr="00732873">
        <w:rPr>
          <w:rFonts w:cstheme="minorHAnsi"/>
        </w:rPr>
        <w:t>i</w:t>
      </w:r>
      <w:proofErr w:type="spellEnd"/>
      <w:r w:rsidRPr="00732873">
        <w:rPr>
          <w:rFonts w:cstheme="minorHAnsi"/>
        </w:rPr>
        <w:t>) Consolidated Shareholders’ Equity, (ii) Consolidated Senior Debt and (iii) Subordinated Obligations excluded from the calculation of Senior Debt.</w:t>
      </w:r>
    </w:p>
    <w:p w:rsidRPr="00732873" w:rsidR="00732873" w:rsidP="00D26C1B" w:rsidRDefault="00732873" w14:paraId="1619DF1B" w14:textId="7990DC5B">
      <w:pPr>
        <w:pStyle w:val="BodyTextFirstIndent"/>
        <w:ind w:left="720" w:firstLine="0"/>
        <w:rPr>
          <w:rFonts w:cstheme="minorHAnsi"/>
        </w:rPr>
      </w:pPr>
      <w:r w:rsidRPr="00732873">
        <w:rPr>
          <w:rFonts w:cstheme="minorHAnsi"/>
        </w:rPr>
        <w:t>“</w:t>
      </w:r>
      <w:r w:rsidRPr="00732873">
        <w:rPr>
          <w:rFonts w:cstheme="minorHAnsi"/>
          <w:b/>
          <w:bCs/>
        </w:rPr>
        <w:t>Equity-Credit Preferred Securities</w:t>
      </w:r>
      <w:r w:rsidRPr="00732873">
        <w:rPr>
          <w:rFonts w:cstheme="minorHAnsi"/>
        </w:rPr>
        <w:t>” means securities, however denominated, (</w:t>
      </w:r>
      <w:proofErr w:type="spellStart"/>
      <w:r w:rsidRPr="00732873">
        <w:rPr>
          <w:rFonts w:cstheme="minorHAnsi"/>
        </w:rPr>
        <w:t>i</w:t>
      </w:r>
      <w:proofErr w:type="spellEnd"/>
      <w:r w:rsidRPr="00732873">
        <w:rPr>
          <w:rFonts w:cstheme="minorHAnsi"/>
        </w:rPr>
        <w:t>) issued by the Company or a Consolidated Subsidiary of the Company, (ii) that are not subject to mandatory redemption or the underlying securities, if any, of which are not subject to mandatory redemption, (iii) that are perpetual or mature no less than 30 years from the date of issuance, (iv) the indebtedness issued in connection with which, including any guaranty, is subordinate in right of payment to the unsecured and unsubordinated indebtedness of the issuer of such indebtedness or guaranty, and (v) the terms of which permit the deferral of the payment of interest or distributions thereon to a date occurring after the Closing.</w:t>
      </w:r>
    </w:p>
    <w:p w:rsidRPr="00732873" w:rsidR="00732873" w:rsidP="00D26C1B" w:rsidRDefault="00732873" w14:paraId="33C15F80" w14:textId="1C796FB1">
      <w:pPr>
        <w:pStyle w:val="BodyTextFirstIndent"/>
        <w:ind w:left="720" w:firstLine="0"/>
        <w:rPr>
          <w:rFonts w:cstheme="minorHAnsi"/>
        </w:rPr>
      </w:pPr>
      <w:r w:rsidRPr="00732873">
        <w:rPr>
          <w:rFonts w:cstheme="minorHAnsi"/>
        </w:rPr>
        <w:t>“</w:t>
      </w:r>
      <w:r w:rsidRPr="00732873">
        <w:rPr>
          <w:rFonts w:cstheme="minorHAnsi"/>
          <w:b/>
          <w:bCs/>
        </w:rPr>
        <w:t>Senior Debt</w:t>
      </w:r>
      <w:r w:rsidRPr="00732873">
        <w:rPr>
          <w:rFonts w:cstheme="minorHAnsi"/>
        </w:rPr>
        <w:t>” of any Person shall mean (without duplication) (</w:t>
      </w:r>
      <w:proofErr w:type="spellStart"/>
      <w:r w:rsidRPr="00732873">
        <w:rPr>
          <w:rFonts w:cstheme="minorHAnsi"/>
        </w:rPr>
        <w:t>i</w:t>
      </w:r>
      <w:proofErr w:type="spellEnd"/>
      <w:r w:rsidRPr="00732873">
        <w:rPr>
          <w:rFonts w:cstheme="minorHAnsi"/>
        </w:rPr>
        <w:t>) all Indebtedness of such Person described in clauses (</w:t>
      </w:r>
      <w:proofErr w:type="spellStart"/>
      <w:r w:rsidRPr="00732873">
        <w:rPr>
          <w:rFonts w:cstheme="minorHAnsi"/>
        </w:rPr>
        <w:t>i</w:t>
      </w:r>
      <w:proofErr w:type="spellEnd"/>
      <w:r w:rsidRPr="00732873">
        <w:rPr>
          <w:rFonts w:cstheme="minorHAnsi"/>
        </w:rPr>
        <w:t>) through (iii) of the definition of “Indebtedness,” (ii) all Indebtedness of such Person described in clause (iv) of the definition of “Indebtedness” in respect of unreimbursed drawings under letters of credit described in such clause (iv), and (iii) all direct or indirect guaranties of such Person in respect of, and to purchase or otherwise acquire, or otherwise to assure a creditor against loss in respect of, liabilities, obligations or indebtedness of others of the kinds referred to in clauses (</w:t>
      </w:r>
      <w:proofErr w:type="spellStart"/>
      <w:r w:rsidRPr="00732873">
        <w:rPr>
          <w:rFonts w:cstheme="minorHAnsi"/>
        </w:rPr>
        <w:t>i</w:t>
      </w:r>
      <w:proofErr w:type="spellEnd"/>
      <w:r w:rsidRPr="00732873">
        <w:rPr>
          <w:rFonts w:cstheme="minorHAnsi"/>
        </w:rPr>
        <w:t>) and (ii) above; provided, however, that in calculating “Senior Debt” of the Company, (x) any amount of Equity-Credit Preferred Securities not included in the definition of “Consolidated Shareholders Equity” shall be included and (y) all Subordinated Obligations shall be excluded.</w:t>
      </w:r>
    </w:p>
    <w:p w:rsidRPr="00732873" w:rsidR="00732873" w:rsidP="00D26C1B" w:rsidRDefault="00732873" w14:paraId="1AD313DE" w14:textId="77777777">
      <w:pPr>
        <w:pStyle w:val="BodyTextFirstIndent"/>
        <w:ind w:left="720" w:firstLine="0"/>
        <w:rPr>
          <w:rFonts w:cstheme="minorHAnsi"/>
          <w:b/>
        </w:rPr>
      </w:pPr>
      <w:r w:rsidRPr="00732873">
        <w:rPr>
          <w:rFonts w:cstheme="minorHAnsi"/>
          <w:bCs/>
        </w:rPr>
        <w:t>“</w:t>
      </w:r>
      <w:r w:rsidRPr="00732873">
        <w:rPr>
          <w:rFonts w:cstheme="minorHAnsi"/>
          <w:b/>
        </w:rPr>
        <w:t>Subordinated Obligations</w:t>
      </w:r>
      <w:r w:rsidRPr="00732873">
        <w:rPr>
          <w:rFonts w:cstheme="minorHAnsi"/>
          <w:bCs/>
        </w:rPr>
        <w:t>”</w:t>
      </w:r>
      <w:r w:rsidRPr="00732873">
        <w:rPr>
          <w:rFonts w:cstheme="minorHAnsi"/>
          <w:b/>
        </w:rPr>
        <w:t xml:space="preserve"> </w:t>
      </w:r>
      <w:r w:rsidRPr="00732873">
        <w:rPr>
          <w:rFonts w:cstheme="minorHAnsi"/>
          <w:bCs/>
        </w:rPr>
        <w:t>means obligations of any Person that are subordinate in right of payment and enforcement to the prior payment of the Obligations arising under the Notes.</w:t>
      </w:r>
    </w:p>
    <w:p w:rsidRPr="00732873" w:rsidR="001C1748" w:rsidP="001C1748" w:rsidRDefault="001C1748" w14:paraId="6E6F84EF" w14:textId="658C45B4">
      <w:pPr>
        <w:rPr>
          <w:rFonts w:cstheme="minorHAnsi"/>
          <w:b/>
          <w:bCs/>
          <w:i/>
          <w:iCs/>
        </w:rPr>
      </w:pPr>
      <w:r>
        <w:rPr>
          <w:rFonts w:cstheme="minorHAnsi"/>
          <w:b/>
          <w:bCs/>
          <w:i/>
          <w:iCs/>
        </w:rPr>
        <w:t>N</w:t>
      </w:r>
      <w:r w:rsidRPr="00732873">
        <w:rPr>
          <w:rFonts w:cstheme="minorHAnsi"/>
          <w:b/>
          <w:bCs/>
          <w:i/>
          <w:iCs/>
        </w:rPr>
        <w:t xml:space="preserve">ote Purchase Agreement dated </w:t>
      </w:r>
      <w:r>
        <w:rPr>
          <w:rFonts w:cstheme="minorHAnsi"/>
          <w:b/>
          <w:bCs/>
          <w:i/>
          <w:iCs/>
        </w:rPr>
        <w:t>May 6, 2019:</w:t>
      </w:r>
      <w:r w:rsidRPr="00732873">
        <w:rPr>
          <w:rFonts w:cstheme="minorHAnsi"/>
          <w:b/>
          <w:bCs/>
          <w:i/>
          <w:iCs/>
        </w:rPr>
        <w:t xml:space="preserve"> </w:t>
      </w:r>
    </w:p>
    <w:p w:rsidRPr="00BD6157" w:rsidR="001C1748" w:rsidP="007803C8" w:rsidRDefault="001C1748" w14:paraId="530E31E2" w14:textId="77777777">
      <w:pPr>
        <w:pStyle w:val="S2Heading2"/>
        <w:numPr>
          <w:ilvl w:val="0"/>
          <w:numId w:val="0"/>
        </w:numPr>
        <w:ind w:left="720"/>
        <w:rPr>
          <w:vanish/>
          <w:color w:val="FF0000"/>
          <w:specVanish/>
        </w:rPr>
      </w:pPr>
      <w:bookmarkStart w:name="_Toc6212180" w:id="5"/>
      <w:bookmarkStart w:name="_Ref6212465" w:id="6"/>
      <w:bookmarkStart w:name="_Ref6212466" w:id="7"/>
      <w:bookmarkStart w:name="_Ref6212818" w:id="8"/>
      <w:bookmarkStart w:name="_Toc6216477" w:id="9"/>
      <w:bookmarkStart w:name="_Toc7618053" w:id="10"/>
      <w:bookmarkStart w:name="_Toc5182754" w:id="11"/>
      <w:bookmarkStart w:name="_Toc5650115" w:id="12"/>
      <w:r w:rsidRPr="00AA0C5F">
        <w:t>Financial Ratio</w:t>
      </w:r>
      <w:bookmarkEnd w:id="5"/>
      <w:bookmarkEnd w:id="6"/>
      <w:bookmarkEnd w:id="7"/>
      <w:bookmarkEnd w:id="8"/>
      <w:bookmarkEnd w:id="9"/>
      <w:bookmarkEnd w:id="10"/>
    </w:p>
    <w:bookmarkEnd w:id="11"/>
    <w:bookmarkEnd w:id="12"/>
    <w:p w:rsidR="001C1748" w:rsidP="007803C8" w:rsidRDefault="001C1748" w14:paraId="2D81B6BC" w14:textId="60C36606">
      <w:pPr>
        <w:pStyle w:val="S2HeadingBody2"/>
        <w:ind w:left="720"/>
      </w:pPr>
      <w:r>
        <w:t>:</w:t>
      </w:r>
      <w:r w:rsidRPr="00C25A51">
        <w:t xml:space="preserve"> </w:t>
      </w:r>
      <w:r>
        <w:t>The Company shall at all times maintain, on a consolidated basis, a Total Debt to Capitalization Ratio of not more than 0.65 to 1.00.</w:t>
      </w:r>
    </w:p>
    <w:p w:rsidR="007803C8" w:rsidP="007803C8" w:rsidRDefault="007803C8" w14:paraId="487C40D8" w14:textId="06BCA6D9">
      <w:pPr>
        <w:pStyle w:val="S3Heading1"/>
        <w:ind w:left="720"/>
      </w:pPr>
      <w:r w:rsidRPr="006D7A66">
        <w:t>“</w:t>
      </w:r>
      <w:r w:rsidRPr="006D7A66">
        <w:rPr>
          <w:b/>
        </w:rPr>
        <w:t>Capitalization</w:t>
      </w:r>
      <w:r w:rsidRPr="006D7A66">
        <w:t>”</w:t>
      </w:r>
      <w:r>
        <w:t xml:space="preserve"> means the total of all the </w:t>
      </w:r>
      <w:r w:rsidRPr="00DD16BC">
        <w:t>following items appearing</w:t>
      </w:r>
      <w:r>
        <w:t xml:space="preserve"> on, or included in, the Company’s unconsolidated balance sheet: </w:t>
      </w:r>
      <w:r w:rsidRPr="000B59CC">
        <w:fldChar w:fldCharType="begin"/>
      </w:r>
      <w:r w:rsidRPr="000B59CC">
        <w:instrText xml:space="preserve"> LISTNUM \l 2 </w:instrText>
      </w:r>
      <w:r w:rsidRPr="000B59CC">
        <w:fldChar w:fldCharType="end"/>
      </w:r>
      <w:r>
        <w:t xml:space="preserve"> liabilities for indebtedness </w:t>
      </w:r>
      <w:r>
        <w:lastRenderedPageBreak/>
        <w:t xml:space="preserve">maturing more than 12 months from the date of determination, and </w:t>
      </w:r>
      <w:r>
        <w:fldChar w:fldCharType="begin"/>
      </w:r>
      <w:r>
        <w:instrText xml:space="preserve"> LISTNUM \l 2 </w:instrText>
      </w:r>
      <w:r>
        <w:fldChar w:fldCharType="end"/>
      </w:r>
      <w:r>
        <w:t> membership interests, common stock, common stock expense, accumulated other comprehensive income or loss, preferred stock, preference stock, premium on common stock and retained earnings (however the foregoing may be designated), less, to the extent not otherwise deducted, the cost of shares of the Company’s capital stock held in the Company’s treasury, if any.  Capitalization shall be determined in accordance with generally accepted accounting principles and practices applicable to the type of business in which the Company is engaged, and may be determined as of the date not more than 60 days prior to the happening of the event for which the determination is being made.</w:t>
      </w:r>
    </w:p>
    <w:p w:rsidR="007803C8" w:rsidP="007803C8" w:rsidRDefault="007803C8" w14:paraId="380A5C12" w14:textId="77777777">
      <w:pPr>
        <w:pStyle w:val="S3Heading1"/>
        <w:ind w:left="720"/>
      </w:pPr>
      <w:r w:rsidRPr="006D7A66">
        <w:t>“</w:t>
      </w:r>
      <w:r w:rsidRPr="006D7A66">
        <w:rPr>
          <w:b/>
        </w:rPr>
        <w:t>Capitalized Lease Liabilities</w:t>
      </w:r>
      <w:r w:rsidRPr="006D7A66">
        <w:t>”</w:t>
      </w:r>
      <w:r>
        <w:t xml:space="preserve"> means the amount, if any, shown as liabilities on the Company’s unconsolidated balance sheet for capitalized leases of electric transmission and distribution property not owned by the Company, which amount shall be determined in accordance with generally accepted accounting principles and practices applicable to the type of business in which the Company is engaged.</w:t>
      </w:r>
    </w:p>
    <w:p w:rsidR="007803C8" w:rsidP="007803C8" w:rsidRDefault="007803C8" w14:paraId="0E599080" w14:textId="1D0944C9">
      <w:pPr>
        <w:pStyle w:val="S3Heading1"/>
        <w:ind w:left="720"/>
      </w:pPr>
      <w:r w:rsidRPr="006D7A66">
        <w:rPr>
          <w:b/>
        </w:rPr>
        <w:t>Debt</w:t>
      </w:r>
      <w:r w:rsidRPr="006D7A66">
        <w:t>”</w:t>
      </w:r>
      <w:r>
        <w:t xml:space="preserve">, with respect to any Person, means </w:t>
      </w:r>
      <w:r w:rsidRPr="000B59CC">
        <w:fldChar w:fldCharType="begin"/>
      </w:r>
      <w:r w:rsidRPr="000B59CC">
        <w:instrText xml:space="preserve"> LISTNUM \l 2 </w:instrText>
      </w:r>
      <w:r w:rsidRPr="000B59CC">
        <w:fldChar w:fldCharType="end"/>
      </w:r>
      <w:r>
        <w:t xml:space="preserve"> indebtedness of such Person for borrowed money evidenced by a bond, debenture, note or other written instrument or agreement by which such Person is obligated to repay such borrowed money, </w:t>
      </w:r>
      <w:r>
        <w:fldChar w:fldCharType="begin"/>
      </w:r>
      <w:r>
        <w:instrText xml:space="preserve"> LISTNUM \l 2 </w:instrText>
      </w:r>
      <w:r>
        <w:fldChar w:fldCharType="end"/>
      </w:r>
      <w:r>
        <w:t xml:space="preserve"> any guaranty by such Person of any such indebtedness of another Person, and </w:t>
      </w:r>
      <w:r>
        <w:fldChar w:fldCharType="begin"/>
      </w:r>
      <w:r>
        <w:instrText xml:space="preserve"> LISTNUM \l 2 </w:instrText>
      </w:r>
      <w:r>
        <w:fldChar w:fldCharType="end"/>
      </w:r>
      <w:r>
        <w:t xml:space="preserve"> any Capitalized Lease Liabilities of the Company.  </w:t>
      </w:r>
      <w:r w:rsidRPr="006D7A66">
        <w:t>“</w:t>
      </w:r>
      <w:r w:rsidRPr="006D7A66">
        <w:rPr>
          <w:b/>
        </w:rPr>
        <w:t>Debt</w:t>
      </w:r>
      <w:r w:rsidRPr="006D7A66">
        <w:t>”</w:t>
      </w:r>
      <w:r>
        <w:t xml:space="preserve"> does not include, among other things, </w:t>
      </w:r>
      <w:r>
        <w:fldChar w:fldCharType="begin"/>
      </w:r>
      <w:r>
        <w:instrText xml:space="preserve"> LISTNUM  NumberDefault \l 5 \s 23 </w:instrText>
      </w:r>
      <w:r>
        <w:fldChar w:fldCharType="end"/>
      </w:r>
      <w:r>
        <w:t xml:space="preserve"> indebtedness of such Person under any installment sale or conditional sale agreement or any other agreement relating to indebtedness for the deferred purchase price of property or services</w:t>
      </w:r>
      <w:r w:rsidRPr="0079025F">
        <w:t xml:space="preserve">, </w:t>
      </w:r>
      <w:r w:rsidRPr="0079025F">
        <w:fldChar w:fldCharType="begin"/>
      </w:r>
      <w:r w:rsidRPr="0079025F">
        <w:instrText xml:space="preserve"> LISTNUM NumberDefault \l5 \* MERGEFORMAT </w:instrText>
      </w:r>
      <w:r w:rsidRPr="0079025F">
        <w:fldChar w:fldCharType="end"/>
      </w:r>
      <w:r w:rsidRPr="0079025F">
        <w:t xml:space="preserve"> any</w:t>
      </w:r>
      <w:r>
        <w:t xml:space="preserve"> trade obligation (including obligations under power or other commodity purchase agreements and any hedges or derivatives associated therewith), or other obligations of such Person in the ordinary course of business, </w:t>
      </w:r>
      <w:r>
        <w:fldChar w:fldCharType="begin"/>
      </w:r>
      <w:r>
        <w:instrText xml:space="preserve"> LISTNUM NumberDefault \l5 \* MERGEFORMAT </w:instrText>
      </w:r>
      <w:r>
        <w:fldChar w:fldCharType="end"/>
      </w:r>
      <w:r>
        <w:t xml:space="preserve"> obligations of such Person under any lease agreement that are not Capitalized Lease Liabilities, or </w:t>
      </w:r>
      <w:r>
        <w:fldChar w:fldCharType="begin"/>
      </w:r>
      <w:r>
        <w:instrText xml:space="preserve"> LISTNUM NumberDefault \l5 \* MERGEFORMAT </w:instrText>
      </w:r>
      <w:r>
        <w:fldChar w:fldCharType="end"/>
      </w:r>
      <w:r>
        <w:t xml:space="preserve"> any Liens securing indebtedness, neither assumed nor guaranteed by the Company nor on which it customarily pays interest, existing upon real estate or rights in or relating to real estate acquired by the Company for substation, transmission line, transportation line, distribution line or right of way purposes.</w:t>
      </w:r>
    </w:p>
    <w:p w:rsidR="007803C8" w:rsidP="007803C8" w:rsidRDefault="007803C8" w14:paraId="1FBFC917" w14:textId="77777777">
      <w:pPr>
        <w:pStyle w:val="S2Heading1"/>
        <w:numPr>
          <w:ilvl w:val="0"/>
          <w:numId w:val="0"/>
        </w:numPr>
        <w:ind w:left="720" w:firstLine="720"/>
        <w:rPr>
          <w:u w:val="none"/>
        </w:rPr>
      </w:pPr>
      <w:r w:rsidRPr="007803C8">
        <w:rPr>
          <w:u w:val="none"/>
        </w:rPr>
        <w:t>“</w:t>
      </w:r>
      <w:r w:rsidRPr="007803C8">
        <w:rPr>
          <w:b/>
          <w:u w:val="none"/>
        </w:rPr>
        <w:t>Total Debt</w:t>
      </w:r>
      <w:r w:rsidRPr="007803C8">
        <w:rPr>
          <w:u w:val="none"/>
        </w:rPr>
        <w:t>” means, with respect to the Company, all Debt of the Company on a consolidated basis.</w:t>
      </w:r>
    </w:p>
    <w:p w:rsidRPr="007803C8" w:rsidR="007803C8" w:rsidP="007803C8" w:rsidRDefault="007803C8" w14:paraId="432DE087" w14:textId="596F5940">
      <w:pPr>
        <w:pStyle w:val="S2Heading1"/>
        <w:numPr>
          <w:ilvl w:val="0"/>
          <w:numId w:val="0"/>
        </w:numPr>
        <w:ind w:firstLine="720"/>
        <w:rPr>
          <w:u w:val="none"/>
        </w:rPr>
      </w:pPr>
      <w:r w:rsidRPr="007803C8">
        <w:rPr>
          <w:u w:val="none"/>
        </w:rPr>
        <w:t>“</w:t>
      </w:r>
      <w:r w:rsidRPr="007803C8">
        <w:rPr>
          <w:b/>
          <w:u w:val="none"/>
        </w:rPr>
        <w:t>Total Debt to Capitalization Ratio</w:t>
      </w:r>
      <w:r w:rsidRPr="007803C8">
        <w:rPr>
          <w:u w:val="none"/>
        </w:rPr>
        <w:t>” means (a) the Company’s Total Debt, divided   by (b) the sum of (</w:t>
      </w:r>
      <w:proofErr w:type="spellStart"/>
      <w:r w:rsidRPr="007803C8">
        <w:rPr>
          <w:u w:val="none"/>
        </w:rPr>
        <w:t>i</w:t>
      </w:r>
      <w:proofErr w:type="spellEnd"/>
      <w:r w:rsidRPr="007803C8">
        <w:rPr>
          <w:u w:val="none"/>
        </w:rPr>
        <w:t>) Total Debt plus (ii) Capitalization.</w:t>
      </w:r>
    </w:p>
    <w:p w:rsidR="001C1748" w:rsidP="001C1748" w:rsidRDefault="001C1748" w14:paraId="3471023C" w14:textId="77777777">
      <w:pPr>
        <w:pStyle w:val="BodyTextFirstIndent"/>
        <w:ind w:firstLine="0"/>
      </w:pPr>
    </w:p>
    <w:p w:rsidR="00732873" w:rsidP="00D26C1B" w:rsidRDefault="00D26C1B" w14:paraId="57B7D554" w14:textId="34A393E3">
      <w:pPr>
        <w:pStyle w:val="BodyTextFirstIndent"/>
        <w:ind w:firstLine="0"/>
        <w:rPr>
          <w:rFonts w:cstheme="minorHAnsi"/>
          <w:b/>
          <w:bCs/>
          <w:i/>
          <w:iCs/>
        </w:rPr>
      </w:pPr>
      <w:r>
        <w:rPr>
          <w:rFonts w:cstheme="minorHAnsi"/>
          <w:b/>
          <w:bCs/>
          <w:i/>
          <w:iCs/>
        </w:rPr>
        <w:t>Deed of Trust, Security Agreement and Fixture Filing, dated as of May 15, 2008, as amended:</w:t>
      </w:r>
    </w:p>
    <w:p w:rsidR="00D26C1B" w:rsidP="00D26C1B" w:rsidRDefault="00D26C1B" w14:paraId="5DB72ADD" w14:textId="6F26D67C">
      <w:pPr>
        <w:pStyle w:val="Number3"/>
        <w:numPr>
          <w:ilvl w:val="0"/>
          <w:numId w:val="0"/>
        </w:numPr>
        <w:ind w:left="720"/>
      </w:pPr>
      <w:r>
        <w:t>Additional Obligations may be secured on the basis of Property Additions which do not constitute Funded Property in a principal amount not exceeding 85% of the Cost or the Fair Value to Grantor of such Property Additions (whichever shall be less) after making any deductions and any additions pursuant to clause (b) of the definition of Property Additions.</w:t>
      </w:r>
    </w:p>
    <w:p w:rsidR="00D26C1B" w:rsidP="00D26C1B" w:rsidRDefault="00D26C1B" w14:paraId="3FFF4D8E" w14:textId="404F19D3">
      <w:pPr>
        <w:pStyle w:val="Number3"/>
        <w:numPr>
          <w:ilvl w:val="0"/>
          <w:numId w:val="0"/>
        </w:numPr>
        <w:ind w:left="720"/>
      </w:pPr>
    </w:p>
    <w:p w:rsidR="00D26C1B" w:rsidP="007803C8" w:rsidRDefault="00D26C1B" w14:paraId="20927655" w14:textId="73CE1B02">
      <w:pPr>
        <w:pStyle w:val="Definition1"/>
        <w:ind w:left="720" w:firstLine="0"/>
      </w:pPr>
      <w:r w:rsidRPr="00D15971">
        <w:lastRenderedPageBreak/>
        <w:t>“</w:t>
      </w:r>
      <w:r w:rsidRPr="00D15971">
        <w:rPr>
          <w:b/>
          <w:u w:val="single"/>
        </w:rPr>
        <w:t>Additional Obligations</w:t>
      </w:r>
      <w:r>
        <w:rPr>
          <w:b/>
          <w:u w:val="single"/>
        </w:rPr>
        <w:fldChar w:fldCharType="begin"/>
      </w:r>
      <w:r>
        <w:instrText xml:space="preserve"> XE "</w:instrText>
      </w:r>
      <w:r w:rsidRPr="00DE390B">
        <w:instrText>Additional Obligations</w:instrText>
      </w:r>
      <w:r>
        <w:instrText xml:space="preserve">" </w:instrText>
      </w:r>
      <w:r>
        <w:rPr>
          <w:b/>
          <w:u w:val="single"/>
        </w:rPr>
        <w:fldChar w:fldCharType="end"/>
      </w:r>
      <w:r w:rsidRPr="00D15971">
        <w:t>” means any Debt that the Grantor elects to secure from time to time by this Deed of Trust by compliance with the applicable provisions of Section</w:t>
      </w:r>
      <w:r w:rsidR="005773F5">
        <w:t xml:space="preserve"> 22.</w:t>
      </w:r>
      <w:r w:rsidRPr="00D15971">
        <w:t xml:space="preserve"> hereof.  Additional Obligations may be, but need not be, debt securities issued under one of the Indentures</w:t>
      </w:r>
      <w:r>
        <w:t>, but excluding any additional amount based on future unaccrued interest</w:t>
      </w:r>
      <w:r w:rsidRPr="00D15971">
        <w:t>.</w:t>
      </w:r>
    </w:p>
    <w:p w:rsidR="00D26C1B" w:rsidP="007803C8" w:rsidRDefault="00D26C1B" w14:paraId="7166206F" w14:textId="5BF94E19">
      <w:pPr>
        <w:pStyle w:val="Definition1"/>
        <w:ind w:left="720" w:firstLine="0"/>
      </w:pPr>
      <w:r>
        <w:t>“</w:t>
      </w:r>
      <w:r w:rsidRPr="00F301D3">
        <w:rPr>
          <w:b/>
          <w:u w:val="single"/>
        </w:rPr>
        <w:t>Cost</w:t>
      </w:r>
      <w:r>
        <w:rPr>
          <w:b/>
          <w:u w:val="single"/>
        </w:rPr>
        <w:fldChar w:fldCharType="begin"/>
      </w:r>
      <w:r>
        <w:instrText xml:space="preserve"> XE "</w:instrText>
      </w:r>
      <w:r w:rsidRPr="00F301D3">
        <w:instrText>Cost</w:instrText>
      </w:r>
      <w:r>
        <w:instrText xml:space="preserve">" </w:instrText>
      </w:r>
      <w:r>
        <w:rPr>
          <w:b/>
          <w:u w:val="single"/>
        </w:rPr>
        <w:fldChar w:fldCharType="end"/>
      </w:r>
      <w:r>
        <w:t>” with respect to Property Additions (except as otherwise provided in Section</w:t>
      </w:r>
      <w:r w:rsidR="005773F5">
        <w:t xml:space="preserve"> 20.2</w:t>
      </w:r>
      <w:r>
        <w:t xml:space="preserve">), shall mean the sum of </w:t>
      </w:r>
      <w:r>
        <w:fldChar w:fldCharType="begin"/>
      </w:r>
      <w:r>
        <w:instrText xml:space="preserve"> LISTNUM  \l 4 </w:instrText>
      </w:r>
      <w:r>
        <w:fldChar w:fldCharType="end"/>
      </w:r>
      <w:r>
        <w:t xml:space="preserve"> any cash delivered in payment therefor or for the acquisition thereof, </w:t>
      </w:r>
      <w:r>
        <w:fldChar w:fldCharType="begin"/>
      </w:r>
      <w:r>
        <w:instrText xml:space="preserve"> LISTNUM  \l 4 </w:instrText>
      </w:r>
      <w:r>
        <w:fldChar w:fldCharType="end"/>
      </w:r>
      <w:r>
        <w:t xml:space="preserve"> an amount equivalent to the fair market value in cash (as of the date of delivery) of any securities or other property delivered in payment therefor or for the acquisition thereof, </w:t>
      </w:r>
      <w:r>
        <w:fldChar w:fldCharType="begin"/>
      </w:r>
      <w:r>
        <w:instrText xml:space="preserve"> LISTNUM  \l 4 </w:instrText>
      </w:r>
      <w:r>
        <w:fldChar w:fldCharType="end"/>
      </w:r>
      <w:r>
        <w:t xml:space="preserve"> the principal amount of any obligations secured by prior Lien upon such Property Additions outstanding at the time of the acquisition thereof, </w:t>
      </w:r>
      <w:r>
        <w:fldChar w:fldCharType="begin"/>
      </w:r>
      <w:r>
        <w:instrText xml:space="preserve"> LISTNUM  \l 4 </w:instrText>
      </w:r>
      <w:r>
        <w:fldChar w:fldCharType="end"/>
      </w:r>
      <w:r>
        <w:t xml:space="preserve"> the principal amount of any other obligations incurred or assumed in connection with the payment for such Property Additions or for the acquisition thereof, and </w:t>
      </w:r>
      <w:r>
        <w:fldChar w:fldCharType="begin"/>
      </w:r>
      <w:r>
        <w:instrText xml:space="preserve"> LISTNUM  \l 4 </w:instrText>
      </w:r>
      <w:r>
        <w:fldChar w:fldCharType="end"/>
      </w:r>
      <w:r>
        <w:t xml:space="preserve"> any other amounts which, in accordance with generally accepted accounting principles, are properly charged or chargeable to the plant or other property accounts of Grantor with respect to such Property Additions as part of the cost of construction or acquisition thereof, including, but not limited to, any allowance for funds used during construction or any similar or analogous amount; provided, however, that, notwithstanding any other provision of this Deed of Trust,</w:t>
      </w:r>
    </w:p>
    <w:p w:rsidR="00D26C1B" w:rsidP="007803C8" w:rsidRDefault="00D26C1B" w14:paraId="75F74393" w14:textId="77777777">
      <w:pPr>
        <w:pStyle w:val="Definition2"/>
        <w:numPr>
          <w:ilvl w:val="1"/>
          <w:numId w:val="5"/>
        </w:numPr>
      </w:pPr>
      <w:r>
        <w:t>with respect to Property Additions owned by a successor corporation immediately prior to the time it shall have become such by consolidation or merger or acquired by a successor corporation in or as a result of a consolidation or merger (excluding, in any case, Property Additions owned by Grantor immediately prior to such time), Cost shall mean the amount or amounts at which such Property Additions are recorded in the plant or other property accounts of such successor corporation, or the predecessor corporation from which such Property Additions are acquired, as the case may be, immediately prior to such consolidation or merger;</w:t>
      </w:r>
    </w:p>
    <w:p w:rsidR="00D26C1B" w:rsidP="007803C8" w:rsidRDefault="00D26C1B" w14:paraId="29E844FB" w14:textId="77777777">
      <w:pPr>
        <w:pStyle w:val="Definition2"/>
      </w:pPr>
      <w:r>
        <w:t>with respect to Property Additions which shall have been acquired (otherwise than by construction) by Grantor without any consideration consisting of cash, securities or other property or the incurring or assumption of indebtedness, no determination of Cost shall be required, and, wherever in this Deed of Trust provision is made for Cost or Fair Value, Cost with respect to such Property Additions shall mean an amount equal to the Fair Value to Grantor thereof or, if greater, the aggregate amount reflected in Grantor’s books of account with respect thereto upon the acquisition thereof; and</w:t>
      </w:r>
    </w:p>
    <w:p w:rsidR="00D26C1B" w:rsidP="007803C8" w:rsidRDefault="00D26C1B" w14:paraId="4EAB1E49" w14:textId="77777777">
      <w:pPr>
        <w:pStyle w:val="Definition2"/>
      </w:pPr>
      <w:r>
        <w:t>in no event shall the Cost of Property Additions be required to reflect any depreciation or amortization in respect of such Property Additions, or any adjustment to the amount or amounts at which such Property Additions are recorded in plant or other property accounts due to the non-recoverability of investment or otherwise.</w:t>
      </w:r>
    </w:p>
    <w:p w:rsidR="00D26C1B" w:rsidP="007803C8" w:rsidRDefault="00D26C1B" w14:paraId="15B5ACD7" w14:textId="0CB3E68A">
      <w:pPr>
        <w:pStyle w:val="Definition1"/>
        <w:ind w:left="720" w:firstLine="0"/>
      </w:pPr>
      <w:r>
        <w:t xml:space="preserve">If any Property Additions are shown by the Expert’s Certificate provided for in Section </w:t>
      </w:r>
      <w:r w:rsidR="005773F5">
        <w:t xml:space="preserve">22.2 (b) (ii) </w:t>
      </w:r>
      <w:r>
        <w:t xml:space="preserve">to include property which has been used or operated by Person(s) other than Grantor in a business similar to that in which it has been or is to be used or operated by Grantor, the Cost thereof need not be reduced by any amount in respect of any goodwill, </w:t>
      </w:r>
      <w:r>
        <w:lastRenderedPageBreak/>
        <w:t>going concern value rights and/or intangible property simultaneously acquired for which no separate or distinct consideration shall have been paid or apportioned, and in such case the term Property Additions as defined herein may include such goodwill, going concern value rights and intangible property.</w:t>
      </w:r>
    </w:p>
    <w:p w:rsidR="00D26C1B" w:rsidP="007803C8" w:rsidRDefault="00D26C1B" w14:paraId="57151768" w14:textId="53E7D8AC">
      <w:pPr>
        <w:pStyle w:val="Definition1"/>
        <w:ind w:left="720" w:firstLine="0"/>
      </w:pPr>
      <w:r>
        <w:t>“</w:t>
      </w:r>
      <w:r w:rsidRPr="00C857C7">
        <w:rPr>
          <w:b/>
          <w:u w:val="single"/>
        </w:rPr>
        <w:t>Fair Value</w:t>
      </w:r>
      <w:r>
        <w:rPr>
          <w:b/>
          <w:u w:val="single"/>
        </w:rPr>
        <w:fldChar w:fldCharType="begin"/>
      </w:r>
      <w:r>
        <w:instrText xml:space="preserve"> XE "</w:instrText>
      </w:r>
      <w:r w:rsidRPr="00C857C7">
        <w:instrText>Fair Value</w:instrText>
      </w:r>
      <w:r>
        <w:instrText xml:space="preserve">" </w:instrText>
      </w:r>
      <w:r>
        <w:rPr>
          <w:b/>
          <w:u w:val="single"/>
        </w:rPr>
        <w:fldChar w:fldCharType="end"/>
      </w:r>
      <w:r>
        <w:t xml:space="preserve">” with respect to property, means the fair value of such property as may be determined by reference to </w:t>
      </w:r>
      <w:r>
        <w:fldChar w:fldCharType="begin"/>
      </w:r>
      <w:r>
        <w:instrText xml:space="preserve"> LISTNUM  \l 2 </w:instrText>
      </w:r>
      <w:r>
        <w:fldChar w:fldCharType="end"/>
      </w:r>
      <w:r>
        <w:t xml:space="preserve"> the amount which would be likely to be obtained in an arm’s-length transaction with respect to such property between an informed and willing buyer and an informed and willing seller, under no compulsion, respectively, to buy or sell, </w:t>
      </w:r>
      <w:r>
        <w:fldChar w:fldCharType="begin"/>
      </w:r>
      <w:r>
        <w:instrText xml:space="preserve"> LISTNUM  \l 2 </w:instrText>
      </w:r>
      <w:r>
        <w:fldChar w:fldCharType="end"/>
      </w:r>
      <w:r>
        <w:t xml:space="preserve"> the amount of investment with respect to such property which, together with a reasonable return thereon, would be likely to be recovered through ordinary business operations or otherwise, </w:t>
      </w:r>
      <w:r>
        <w:fldChar w:fldCharType="begin"/>
      </w:r>
      <w:r>
        <w:instrText xml:space="preserve"> LISTNUM  \l 2 </w:instrText>
      </w:r>
      <w:r>
        <w:fldChar w:fldCharType="end"/>
      </w:r>
      <w:r>
        <w:t xml:space="preserve"> the Cost, accumulated depreciation, and replacement cost with respect to such property and/or </w:t>
      </w:r>
      <w:r>
        <w:fldChar w:fldCharType="begin"/>
      </w:r>
      <w:r>
        <w:instrText xml:space="preserve"> LISTNUM  \l 2 </w:instrText>
      </w:r>
      <w:r>
        <w:fldChar w:fldCharType="end"/>
      </w:r>
      <w:r>
        <w:t xml:space="preserve"> any other relevant factors; provided, however, that (x) the Fair Value of property shall be determined without deduction for any Liens on such property prior to the Lien of this Deed of Trust (except as otherwise provided in Section</w:t>
      </w:r>
      <w:r w:rsidR="005773F5">
        <w:t xml:space="preserve"> 20.2</w:t>
      </w:r>
      <w:r>
        <w:t>) and (y) the Fair Value to Grantor of Property Additions may be of less value to a Person which is not the owner or operator of the Mortgaged Property or any portion thereof than to a Person which is such owner or operator.  Fair Value may be determined, without physical inspection, by the use of accounting and engineering records and other data maintained by Grantor or otherwise available to the Expert certifying the same.</w:t>
      </w:r>
    </w:p>
    <w:p w:rsidR="00D26C1B" w:rsidP="007803C8" w:rsidRDefault="00D26C1B" w14:paraId="51B4E0E4" w14:textId="77777777">
      <w:pPr>
        <w:pStyle w:val="Definition1"/>
        <w:ind w:left="720" w:firstLine="0"/>
      </w:pPr>
      <w:r>
        <w:t>“</w:t>
      </w:r>
      <w:r w:rsidRPr="000153C5">
        <w:rPr>
          <w:b/>
          <w:u w:val="single"/>
        </w:rPr>
        <w:t>Mortgaged Property</w:t>
      </w:r>
      <w:r>
        <w:rPr>
          <w:b/>
          <w:u w:val="single"/>
        </w:rPr>
        <w:fldChar w:fldCharType="begin"/>
      </w:r>
      <w:r>
        <w:instrText xml:space="preserve"> XE "</w:instrText>
      </w:r>
      <w:r w:rsidRPr="000B6F1A">
        <w:instrText>Mortgaged Property</w:instrText>
      </w:r>
      <w:r>
        <w:instrText xml:space="preserve">" </w:instrText>
      </w:r>
      <w:r>
        <w:rPr>
          <w:b/>
          <w:u w:val="single"/>
        </w:rPr>
        <w:fldChar w:fldCharType="end"/>
      </w:r>
      <w:r>
        <w:t>” means all right, title and interest of Grantor, in and to the following property, real, personal and mixed, wherever located (other than Excepted Property):</w:t>
      </w:r>
    </w:p>
    <w:p w:rsidR="00D26C1B" w:rsidP="007803C8" w:rsidRDefault="00D26C1B" w14:paraId="2324681E" w14:textId="77777777">
      <w:pPr>
        <w:pStyle w:val="Definition2"/>
      </w:pPr>
      <w:r w:rsidRPr="00AF5ABF">
        <w:rPr>
          <w:u w:val="single"/>
        </w:rPr>
        <w:t>Existing Property</w:t>
      </w:r>
      <w:r>
        <w:t xml:space="preserve">.  All right, title and interest of Grantor, as of the Execution Date, in and to all property, real, personal and mixed, wherever located (other than Excepted Property), including, without limitation, all right, title and interest of Grantor in and to the following property so located (other than Excepted Property):  </w:t>
      </w:r>
    </w:p>
    <w:p w:rsidR="00D26C1B" w:rsidP="007803C8" w:rsidRDefault="00D26C1B" w14:paraId="46BAFFD8" w14:textId="2DF162F8">
      <w:pPr>
        <w:pStyle w:val="Definition3"/>
        <w:ind w:firstLine="1440"/>
      </w:pPr>
      <w:bookmarkStart w:name="_Ref182104917" w:id="13"/>
      <w:r>
        <w:t xml:space="preserve">all real property owned in fee, easements and other interests in real property which are specifically described or referred to in </w:t>
      </w:r>
      <w:r w:rsidRPr="005773F5" w:rsidR="005773F5">
        <w:t xml:space="preserve">Exhibit A </w:t>
      </w:r>
      <w:r w:rsidRPr="005773F5">
        <w:t>attached</w:t>
      </w:r>
      <w:r>
        <w:t xml:space="preserve"> hereto and incorporated herein by this reference;</w:t>
      </w:r>
      <w:bookmarkEnd w:id="13"/>
      <w:r>
        <w:t xml:space="preserve"> </w:t>
      </w:r>
    </w:p>
    <w:p w:rsidR="00D26C1B" w:rsidP="007803C8" w:rsidRDefault="00D26C1B" w14:paraId="0EF5DD1C" w14:textId="77777777">
      <w:pPr>
        <w:pStyle w:val="Definition3"/>
        <w:ind w:firstLine="1440"/>
      </w:pPr>
      <w:bookmarkStart w:name="_Ref182104918" w:id="14"/>
      <w:r>
        <w:t>all facilities, machinery, equipment and fixtures for the transmission and distribution of electric energy including, but not limited to, all switchyards, towers, substations, transformers, poles, lines, cables, conduits, ducts, conductors, meters, regulators and all other property used or to be used for any or all of such purposes;</w:t>
      </w:r>
      <w:bookmarkEnd w:id="14"/>
      <w:r>
        <w:t xml:space="preserve"> </w:t>
      </w:r>
    </w:p>
    <w:p w:rsidR="00D26C1B" w:rsidP="007803C8" w:rsidRDefault="00D26C1B" w14:paraId="09303445" w14:textId="2B787401">
      <w:pPr>
        <w:pStyle w:val="Definition3"/>
        <w:ind w:firstLine="1440"/>
      </w:pPr>
      <w:r>
        <w:t xml:space="preserve">all buildings, offices, warehouses, structures or improvements in addition to those referred to or otherwise included in items </w:t>
      </w:r>
      <w:r>
        <w:fldChar w:fldCharType="begin"/>
      </w:r>
      <w:r>
        <w:instrText xml:space="preserve"> REF _Ref182104917 \n \h </w:instrText>
      </w:r>
      <w:r>
        <w:fldChar w:fldCharType="separate"/>
      </w:r>
      <w:r w:rsidR="005773F5">
        <w:t>(1)</w:t>
      </w:r>
      <w:r>
        <w:fldChar w:fldCharType="end"/>
      </w:r>
      <w:r>
        <w:t xml:space="preserve"> and </w:t>
      </w:r>
      <w:r>
        <w:fldChar w:fldCharType="begin"/>
      </w:r>
      <w:r>
        <w:instrText xml:space="preserve"> REF _Ref182104918 \n \h </w:instrText>
      </w:r>
      <w:r>
        <w:fldChar w:fldCharType="separate"/>
      </w:r>
      <w:r w:rsidR="005773F5">
        <w:t>(2)</w:t>
      </w:r>
      <w:r>
        <w:fldChar w:fldCharType="end"/>
      </w:r>
      <w:r>
        <w:t xml:space="preserve"> above; </w:t>
      </w:r>
    </w:p>
    <w:p w:rsidR="00D26C1B" w:rsidP="007803C8" w:rsidRDefault="00D26C1B" w14:paraId="1951FE48" w14:textId="77807682">
      <w:pPr>
        <w:pStyle w:val="Definition3"/>
        <w:ind w:firstLine="1440"/>
      </w:pPr>
      <w:r>
        <w:t xml:space="preserve">all computers, data processing, data storage, data transmission and/or telecommunications facilities, equipment and apparatus necessary for the operation or maintenance of any facilities, machinery, equipment or fixtures described or referred to in item </w:t>
      </w:r>
      <w:r>
        <w:fldChar w:fldCharType="begin"/>
      </w:r>
      <w:r>
        <w:instrText xml:space="preserve"> REF _Ref182104918 \n \h </w:instrText>
      </w:r>
      <w:r>
        <w:fldChar w:fldCharType="separate"/>
      </w:r>
      <w:r w:rsidR="005773F5">
        <w:t>(2)</w:t>
      </w:r>
      <w:r>
        <w:fldChar w:fldCharType="end"/>
      </w:r>
      <w:r>
        <w:t xml:space="preserve"> above; and </w:t>
      </w:r>
    </w:p>
    <w:p w:rsidR="00D26C1B" w:rsidP="007803C8" w:rsidRDefault="00D26C1B" w14:paraId="7994C102" w14:textId="77777777">
      <w:pPr>
        <w:pStyle w:val="Definition3"/>
        <w:ind w:firstLine="1440"/>
      </w:pPr>
      <w:r>
        <w:t xml:space="preserve">all of the foregoing property in the process of construction; </w:t>
      </w:r>
    </w:p>
    <w:p w:rsidR="00D26C1B" w:rsidP="007803C8" w:rsidRDefault="00D26C1B" w14:paraId="5ABD540C" w14:textId="56CD2D1F">
      <w:pPr>
        <w:pStyle w:val="Definition2"/>
      </w:pPr>
      <w:r w:rsidRPr="00AF5ABF">
        <w:rPr>
          <w:u w:val="single"/>
        </w:rPr>
        <w:lastRenderedPageBreak/>
        <w:t>After-Acquired Property</w:t>
      </w:r>
      <w:r>
        <w:t xml:space="preserve">.  Subject to the applicable exceptions set forth in Section </w:t>
      </w:r>
      <w:r w:rsidR="005773F5">
        <w:t xml:space="preserve">20.9 (d) </w:t>
      </w:r>
      <w:r>
        <w:t xml:space="preserve">of this Deed of Trust relating to interests retained by Grantor in property released from this Deed of Trust, in Section 1203 of the First Indenture relating to property owned by a successor company after a merger by Grantor, and in Section 1205 of the First Indenture relating to property owned by Grantor as the result of the merger or consolidation of another entity into Grantor (which exceptions apply hereunder to the interests of each Lender and the holders of the Indenture Notes), all right, title and interest of Grantor in all property, real, personal and mixed, wherever located (other than Excepted Property) which may be hereafter acquired by Grantor, it being the intention of Grantor that all such property acquired by Grantor after the Execution Date shall be as fully embraced within and subjected to this Deed of Trust as if such property were owned by Grantor as of the Execution Date; and </w:t>
      </w:r>
    </w:p>
    <w:p w:rsidR="00D26C1B" w:rsidP="007803C8" w:rsidRDefault="00D26C1B" w14:paraId="2C4E46F9" w14:textId="77777777">
      <w:pPr>
        <w:pStyle w:val="Definition2"/>
      </w:pPr>
      <w:r w:rsidRPr="00AF5ABF">
        <w:rPr>
          <w:u w:val="single"/>
        </w:rPr>
        <w:t>Excepted Property Subjected to this Deed of Trust</w:t>
      </w:r>
      <w:r>
        <w:t>.  Any Excepted Property, which may, from time to time after the Execution Date, by delivery or by an instrument supplemental to this Deed of Trust, be subjected to this Deed of Trust by Grantor, Collateral Agent being hereby authorized to receive the same at any time as additional security hereunder; it being understood that any such subjection to this Deed of Trust hereof of any Excepted Property as additional security may be made subject to such reservations, limitations or conditions respecting the use and disposition of such property or the proceeds thereof as shall be set forth in such instrument.</w:t>
      </w:r>
    </w:p>
    <w:p w:rsidR="00D26C1B" w:rsidP="007803C8" w:rsidRDefault="00D26C1B" w14:paraId="5BA41A6B" w14:textId="094423EC">
      <w:pPr>
        <w:pStyle w:val="Definition1"/>
        <w:tabs>
          <w:tab w:val="left" w:pos="90"/>
          <w:tab w:val="left" w:pos="720"/>
        </w:tabs>
        <w:ind w:left="720" w:firstLine="0"/>
      </w:pPr>
      <w:r>
        <w:t>“</w:t>
      </w:r>
      <w:r w:rsidRPr="00DB500F">
        <w:rPr>
          <w:b/>
          <w:u w:val="single"/>
        </w:rPr>
        <w:t>Property Additions</w:t>
      </w:r>
      <w:r>
        <w:rPr>
          <w:b/>
          <w:u w:val="single"/>
        </w:rPr>
        <w:fldChar w:fldCharType="begin"/>
      </w:r>
      <w:r>
        <w:instrText xml:space="preserve"> XE "</w:instrText>
      </w:r>
      <w:r w:rsidRPr="00DB500F">
        <w:instrText>Property Additions</w:instrText>
      </w:r>
      <w:r>
        <w:instrText xml:space="preserve">" </w:instrText>
      </w:r>
      <w:r>
        <w:rPr>
          <w:b/>
          <w:u w:val="single"/>
        </w:rPr>
        <w:fldChar w:fldCharType="end"/>
      </w:r>
      <w:r>
        <w:t xml:space="preserve">” means, as of any particular time, any item, unit or element of property which at such time is owned by Grantor and is Mortgaged Property.  When any Property Additions are certified to Collateral Agent as the basis of any Authorized Purpose (except as otherwise provided in Section </w:t>
      </w:r>
      <w:r w:rsidR="005773F5">
        <w:t xml:space="preserve">20.2 </w:t>
      </w:r>
      <w:r>
        <w:t>and Section</w:t>
      </w:r>
      <w:r w:rsidR="005773F5">
        <w:t xml:space="preserve"> 21</w:t>
      </w:r>
      <w:r>
        <w:t>),</w:t>
      </w:r>
    </w:p>
    <w:p w:rsidR="00D26C1B" w:rsidP="007803C8" w:rsidRDefault="00D26C1B" w14:paraId="41965C6E" w14:textId="77777777">
      <w:pPr>
        <w:pStyle w:val="BTI4"/>
        <w:tabs>
          <w:tab w:val="left" w:pos="90"/>
          <w:tab w:val="left" w:pos="720"/>
        </w:tabs>
      </w:pPr>
      <w:r>
        <w:t>(a)</w:t>
      </w:r>
      <w:r>
        <w:tab/>
        <w:t>there shall be deducted from the Cost or Fair Value to Grantor thereof, as the case may be (as of the date so certified), an amount equal to the Cost (or as to Property Additions of which the Fair Value to Grantor at the time the same became Funded Property was certified to be an amount less than the Cost as determined pursuant to the definition of Cost, then such Fair Value, as so certified, in lieu of Cost) of all Funded Property of Grantor retired to the date of such certification (other than the Funded Property, if any, in connection with the application for the release of which such certificate is filed) and not theretofore deducted from the Cost or Fair Value to Grantor of Property Additions theretofore certified to Collateral Agent, and</w:t>
      </w:r>
    </w:p>
    <w:p w:rsidR="00D26C1B" w:rsidP="007803C8" w:rsidRDefault="00D26C1B" w14:paraId="4064AE78" w14:textId="77777777">
      <w:pPr>
        <w:pStyle w:val="BTI4"/>
        <w:tabs>
          <w:tab w:val="left" w:pos="90"/>
          <w:tab w:val="left" w:pos="720"/>
        </w:tabs>
      </w:pPr>
      <w:r>
        <w:t>(b)</w:t>
      </w:r>
      <w:r>
        <w:tab/>
        <w:t>there may, at the option of Grantor, be added to such Cost or Fair Value, as appropriate, the sum of</w:t>
      </w:r>
    </w:p>
    <w:p w:rsidR="00D26C1B" w:rsidP="007803C8" w:rsidRDefault="00D26C1B" w14:paraId="71860882" w14:textId="77777777">
      <w:pPr>
        <w:pStyle w:val="BTI5"/>
        <w:tabs>
          <w:tab w:val="left" w:pos="90"/>
          <w:tab w:val="left" w:pos="720"/>
        </w:tabs>
        <w:ind w:left="720" w:firstLine="1440"/>
      </w:pPr>
      <w:r>
        <w:t>(</w:t>
      </w:r>
      <w:proofErr w:type="spellStart"/>
      <w:r>
        <w:t>i</w:t>
      </w:r>
      <w:proofErr w:type="spellEnd"/>
      <w:r>
        <w:t>)</w:t>
      </w:r>
      <w:r>
        <w:tab/>
        <w:t>the principal amount of any obligations secured by a Purchase Money Lien, not theretofore so added and which Grantor then elects so to add, which shall theretofore have been delivered to Collateral Agent or the trustee or other holder of a Lien prior to the Lien of this Deed of Trust as the basis of the release of Funded Property retired from the Lien of this Deed of Trust or such prior Lien, as the case may be;</w:t>
      </w:r>
    </w:p>
    <w:p w:rsidR="00D26C1B" w:rsidP="007803C8" w:rsidRDefault="00D26C1B" w14:paraId="3E01580A" w14:textId="77777777">
      <w:pPr>
        <w:pStyle w:val="BTI5"/>
        <w:tabs>
          <w:tab w:val="left" w:pos="90"/>
          <w:tab w:val="left" w:pos="720"/>
        </w:tabs>
        <w:ind w:left="720" w:firstLine="1440"/>
      </w:pPr>
      <w:r>
        <w:t>(ii)</w:t>
      </w:r>
      <w:r>
        <w:tab/>
        <w:t xml:space="preserve">the amount of any cash, not theretofore so added and which Grantor then elects so to add, which shall theretofore have been delivered to Collateral Agent or </w:t>
      </w:r>
      <w:r>
        <w:lastRenderedPageBreak/>
        <w:t>the trustee or other holder of a Lien prior to the Lien of this Deed of Trust as the basis of the release of Funded Property retired from the Lien of this Deed of Trust or from such prior Lien;</w:t>
      </w:r>
    </w:p>
    <w:p w:rsidR="00D26C1B" w:rsidP="007803C8" w:rsidRDefault="00D26C1B" w14:paraId="549B585D" w14:textId="25B8A4FA">
      <w:pPr>
        <w:pStyle w:val="BTI5"/>
        <w:tabs>
          <w:tab w:val="left" w:pos="90"/>
          <w:tab w:val="left" w:pos="720"/>
        </w:tabs>
        <w:ind w:left="720" w:firstLine="1440"/>
      </w:pPr>
      <w:r>
        <w:t>(iii)</w:t>
      </w:r>
      <w:r>
        <w:tab/>
        <w:t xml:space="preserve">the principal amount of any Obligation or Obligations, or portion of such principal amount, not theretofore so added and which Grantor then elects so to add, </w:t>
      </w:r>
      <w:r>
        <w:fldChar w:fldCharType="begin"/>
      </w:r>
      <w:r>
        <w:instrText xml:space="preserve"> LISTNUM  \l 6 </w:instrText>
      </w:r>
      <w:r>
        <w:fldChar w:fldCharType="end"/>
      </w:r>
      <w:r>
        <w:t xml:space="preserve"> which shall theretofore have been used as the basis of the release of Funded Property retired or </w:t>
      </w:r>
      <w:r>
        <w:fldChar w:fldCharType="begin"/>
      </w:r>
      <w:r>
        <w:instrText xml:space="preserve"> LISTNUM  \l 6 </w:instrText>
      </w:r>
      <w:r>
        <w:fldChar w:fldCharType="end"/>
      </w:r>
      <w:r>
        <w:t xml:space="preserve"> the right to the securing of which under the provisions of Section </w:t>
      </w:r>
      <w:r w:rsidR="005773F5">
        <w:t xml:space="preserve">22.3 </w:t>
      </w:r>
      <w:r>
        <w:t xml:space="preserve">shall at any time theretofore have been waived under Section </w:t>
      </w:r>
      <w:r w:rsidR="005773F5">
        <w:t xml:space="preserve">20.2 (d) </w:t>
      </w:r>
      <w:r w:rsidR="005773F5">
        <w:fldChar w:fldCharType="begin"/>
      </w:r>
      <w:r w:rsidR="005773F5">
        <w:instrText xml:space="preserve"> LISTNUM \l 4  </w:instrText>
      </w:r>
      <w:r w:rsidR="005773F5">
        <w:fldChar w:fldCharType="end"/>
      </w:r>
      <w:r>
        <w:t>as the basis of the release of Funded Property retired;</w:t>
      </w:r>
    </w:p>
    <w:p w:rsidR="00D26C1B" w:rsidP="007803C8" w:rsidRDefault="00D26C1B" w14:paraId="6699D4BB" w14:textId="77777777">
      <w:pPr>
        <w:pStyle w:val="BTI5"/>
        <w:tabs>
          <w:tab w:val="left" w:pos="90"/>
          <w:tab w:val="left" w:pos="720"/>
        </w:tabs>
        <w:ind w:left="720" w:firstLine="1440"/>
      </w:pPr>
      <w:r>
        <w:t>(iv)</w:t>
      </w:r>
      <w:r>
        <w:tab/>
        <w:t>the Cost or Fair Value to Grantor (whichever shall be less) of any Property Additions, not theretofore so added and which Grantor then elects so to add, which shall theretofore have been made the basis of the release of Funded Property retired (such Fair Value to be the amount shown in the Expert’s Certificate delivered to Collateral Agent in connection with such release); and</w:t>
      </w:r>
    </w:p>
    <w:p w:rsidR="00D26C1B" w:rsidP="007803C8" w:rsidRDefault="00D26C1B" w14:paraId="3682E7D2" w14:textId="77777777">
      <w:pPr>
        <w:pStyle w:val="BTI5"/>
        <w:tabs>
          <w:tab w:val="left" w:pos="90"/>
          <w:tab w:val="left" w:pos="720"/>
        </w:tabs>
        <w:ind w:left="720" w:firstLine="1440"/>
      </w:pPr>
      <w:r>
        <w:t>(v)</w:t>
      </w:r>
      <w:r>
        <w:tab/>
        <w:t>the Cost to Grantor of any Property Additions not theretofore so added and which Grantor then elects so to add, to the extent that the same shall have been substituted for Funded Property retired;</w:t>
      </w:r>
    </w:p>
    <w:p w:rsidR="00D26C1B" w:rsidP="007803C8" w:rsidRDefault="00D26C1B" w14:paraId="57042D9E" w14:textId="77777777">
      <w:pPr>
        <w:pStyle w:val="Definition1"/>
        <w:tabs>
          <w:tab w:val="left" w:pos="90"/>
          <w:tab w:val="left" w:pos="720"/>
        </w:tabs>
        <w:ind w:left="720" w:firstLine="0"/>
      </w:pPr>
      <w:r>
        <w:t>provided, however, that the aggregate of the amounts added under clause (b) above shall in no event exceed the amounts deducted under clause (a) above.</w:t>
      </w:r>
    </w:p>
    <w:p w:rsidR="00D26C1B" w:rsidP="007803C8" w:rsidRDefault="00D26C1B" w14:paraId="4050178C" w14:textId="77777777">
      <w:pPr>
        <w:pStyle w:val="Definition1"/>
        <w:tabs>
          <w:tab w:val="left" w:pos="720"/>
        </w:tabs>
        <w:ind w:left="720" w:firstLine="0"/>
      </w:pPr>
    </w:p>
    <w:p w:rsidR="00D26C1B" w:rsidP="00D26C1B" w:rsidRDefault="00D26C1B" w14:paraId="359E9A4E" w14:textId="77777777">
      <w:pPr>
        <w:pStyle w:val="Number3"/>
        <w:numPr>
          <w:ilvl w:val="0"/>
          <w:numId w:val="0"/>
        </w:numPr>
        <w:ind w:left="720"/>
      </w:pPr>
    </w:p>
    <w:p w:rsidRPr="00D26C1B" w:rsidR="00D26C1B" w:rsidP="00D26C1B" w:rsidRDefault="00D26C1B" w14:paraId="026D4708" w14:textId="77777777">
      <w:pPr>
        <w:pStyle w:val="BodyTextFirstIndent"/>
        <w:ind w:firstLine="0"/>
      </w:pPr>
    </w:p>
    <w:p w:rsidR="005F6270" w:rsidP="005F6270" w:rsidRDefault="005F6270" w14:paraId="3D80EE8C" w14:textId="77777777">
      <w:pPr>
        <w:pStyle w:val="BodyTextFirstIndent"/>
        <w:ind w:firstLine="0"/>
      </w:pPr>
    </w:p>
    <w:p w:rsidR="005F6270" w:rsidP="005F6270" w:rsidRDefault="005F6270" w14:paraId="301F8B0B" w14:textId="77777777">
      <w:pPr>
        <w:pStyle w:val="BodyText"/>
        <w:rPr>
          <w:color w:val="000000"/>
        </w:rPr>
      </w:pPr>
    </w:p>
    <w:p w:rsidR="005F6270" w:rsidRDefault="005F6270" w14:paraId="58FAAD7E" w14:textId="77777777"/>
    <w:sectPr w:rsidR="005F6270" w:rsidSect="00CE4365">
      <w:headerReference w:type="default" r:id="rId7"/>
      <w:pgSz w:w="12240" w:h="15840"/>
      <w:pgMar w:top="1440" w:right="1440" w:bottom="100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35A31" w:rsidP="00AD040A" w:rsidRDefault="00E35A31" w14:paraId="79483CA9" w14:textId="77777777">
      <w:pPr>
        <w:spacing w:after="0" w:line="240" w:lineRule="auto"/>
      </w:pPr>
      <w:r>
        <w:separator/>
      </w:r>
    </w:p>
  </w:endnote>
  <w:endnote w:type="continuationSeparator" w:id="0">
    <w:p w:rsidR="00E35A31" w:rsidP="00AD040A" w:rsidRDefault="00E35A31" w14:paraId="7690CE8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35A31" w:rsidP="00AD040A" w:rsidRDefault="00E35A31" w14:paraId="59A38FA7" w14:textId="77777777">
      <w:pPr>
        <w:spacing w:after="0" w:line="240" w:lineRule="auto"/>
      </w:pPr>
      <w:r>
        <w:separator/>
      </w:r>
    </w:p>
  </w:footnote>
  <w:footnote w:type="continuationSeparator" w:id="0">
    <w:p w:rsidR="00E35A31" w:rsidP="00AD040A" w:rsidRDefault="00E35A31" w14:paraId="6CC195A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336367"/>
      <w:docPartObj>
        <w:docPartGallery w:val="Page Numbers (Top of Page)"/>
        <w:docPartUnique/>
      </w:docPartObj>
    </w:sdtPr>
    <w:sdtEndPr/>
    <w:sdtContent>
      <w:p w:rsidR="00AD040A" w:rsidRDefault="00AD040A" w14:paraId="125C08E4" w14:textId="31D9D59F">
        <w:pPr>
          <w:pStyle w:val="Header"/>
          <w:jc w:val="right"/>
        </w:pPr>
        <w:r>
          <w:t>SCHEDULE II-C-2.6</w:t>
        </w:r>
      </w:p>
      <w:p w:rsidR="00AD040A" w:rsidRDefault="00AD040A" w14:paraId="0CE4FE1F" w14:textId="454AF50D">
        <w:pPr>
          <w:pStyle w:val="Header"/>
          <w:jc w:val="right"/>
        </w:pPr>
        <w:r>
          <w:t>ATTACHMENT 1</w:t>
        </w:r>
      </w:p>
      <w:p w:rsidR="00AD040A" w:rsidRDefault="00AD040A" w14:paraId="6E1CF63C" w14:textId="681F430C">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rsidR="00AD040A" w:rsidRDefault="00AD040A" w14:paraId="68AD21BC" w14:textId="29E26A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1" w15:restartNumberingAfterBreak="0">
    <w:nsid w:val="07877EF1"/>
    <w:multiLevelType w:val="multilevel"/>
    <w:tmpl w:val="532AE89C"/>
    <w:name w:val="zzmpArticle||Article|2|1|1|5|0|41||3|0|4||1|0|0||1|0|0||1|0|0||1|0|0||1|0|0||1|0|0||1|0|0||"/>
    <w:lvl w:ilvl="0">
      <w:start w:val="1"/>
      <w:numFmt w:val="upperRoman"/>
      <w:pStyle w:val="ArticleL1"/>
      <w:suff w:val="nothing"/>
      <w:lvlText w:val="ARTICLE %1"/>
      <w:lvlJc w:val="left"/>
      <w:pPr>
        <w:ind w:left="0" w:firstLine="0"/>
      </w:pPr>
      <w:rPr>
        <w:rFonts w:ascii="Times New Roman" w:hAnsi="Times New Roman" w:cs="Times New Roman" w:hint="default"/>
        <w:b/>
        <w:i w:val="0"/>
        <w:caps/>
        <w:smallCaps w:val="0"/>
        <w:strike w:val="0"/>
        <w:dstrike w:val="0"/>
        <w:color w:val="auto"/>
        <w:sz w:val="24"/>
        <w:u w:val="none"/>
        <w:effect w:val="none"/>
      </w:rPr>
    </w:lvl>
    <w:lvl w:ilvl="1">
      <w:start w:val="1"/>
      <w:numFmt w:val="decimalZero"/>
      <w:pStyle w:val="ArticleL2"/>
      <w:isLgl/>
      <w:suff w:val="nothing"/>
      <w:lvlText w:val="SECTION %1.%2."/>
      <w:lvlJc w:val="left"/>
      <w:pPr>
        <w:ind w:left="0" w:firstLine="720"/>
      </w:pPr>
      <w:rPr>
        <w:rFonts w:ascii="Times New Roman" w:hAnsi="Times New Roman" w:cs="Times New Roman" w:hint="default"/>
        <w:b w:val="0"/>
        <w:i w:val="0"/>
        <w:caps w:val="0"/>
        <w:strike w:val="0"/>
        <w:dstrike w:val="0"/>
        <w:color w:val="auto"/>
        <w:sz w:val="24"/>
        <w:u w:val="none"/>
        <w:effect w:val="none"/>
      </w:rPr>
    </w:lvl>
    <w:lvl w:ilvl="2">
      <w:start w:val="1"/>
      <w:numFmt w:val="lowerLetter"/>
      <w:pStyle w:val="ArticleL3"/>
      <w:lvlText w:val="(%3)"/>
      <w:lvlJc w:val="left"/>
      <w:pPr>
        <w:tabs>
          <w:tab w:val="num" w:pos="2160"/>
        </w:tabs>
        <w:ind w:left="0" w:firstLine="1440"/>
      </w:pPr>
      <w:rPr>
        <w:rFonts w:ascii="Times New Roman" w:hAnsi="Times New Roman" w:cs="Times New Roman" w:hint="default"/>
        <w:b w:val="0"/>
        <w:i w:val="0"/>
        <w:caps w:val="0"/>
        <w:strike w:val="0"/>
        <w:dstrike w:val="0"/>
        <w:color w:val="auto"/>
        <w:sz w:val="24"/>
        <w:u w:val="none"/>
        <w:effect w:val="none"/>
      </w:rPr>
    </w:lvl>
    <w:lvl w:ilvl="3">
      <w:start w:val="1"/>
      <w:numFmt w:val="lowerLetter"/>
      <w:pStyle w:val="ArticleL4"/>
      <w:lvlText w:val="(%4)"/>
      <w:lvlJc w:val="left"/>
      <w:pPr>
        <w:tabs>
          <w:tab w:val="num" w:pos="2160"/>
        </w:tabs>
        <w:ind w:left="720" w:firstLine="720"/>
      </w:pPr>
      <w:rPr>
        <w:rFonts w:ascii="Times New Roman" w:hAnsi="Times New Roman" w:cs="Times New Roman" w:hint="default"/>
        <w:b w:val="0"/>
        <w:i w:val="0"/>
        <w:caps w:val="0"/>
        <w:strike w:val="0"/>
        <w:dstrike w:val="0"/>
        <w:color w:val="auto"/>
        <w:sz w:val="24"/>
        <w:u w:val="none"/>
        <w:effect w:val="none"/>
      </w:rPr>
    </w:lvl>
    <w:lvl w:ilvl="4">
      <w:start w:val="1"/>
      <w:numFmt w:val="lowerRoman"/>
      <w:pStyle w:val="ArticleL5"/>
      <w:lvlText w:val="(%5)"/>
      <w:lvlJc w:val="left"/>
      <w:pPr>
        <w:tabs>
          <w:tab w:val="num" w:pos="2880"/>
        </w:tabs>
        <w:ind w:left="720" w:firstLine="1440"/>
      </w:pPr>
      <w:rPr>
        <w:rFonts w:ascii="Times New Roman" w:hAnsi="Times New Roman" w:cs="Times New Roman" w:hint="default"/>
        <w:b w:val="0"/>
        <w:i w:val="0"/>
        <w:caps w:val="0"/>
        <w:strike w:val="0"/>
        <w:dstrike w:val="0"/>
        <w:color w:val="auto"/>
        <w:sz w:val="24"/>
        <w:u w:val="none"/>
        <w:effect w:val="none"/>
      </w:rPr>
    </w:lvl>
    <w:lvl w:ilvl="5">
      <w:start w:val="1"/>
      <w:numFmt w:val="upperLetter"/>
      <w:pStyle w:val="ArticleL6"/>
      <w:lvlText w:val="(%6)"/>
      <w:lvlJc w:val="left"/>
      <w:pPr>
        <w:tabs>
          <w:tab w:val="num" w:pos="3600"/>
        </w:tabs>
        <w:ind w:left="2160" w:firstLine="720"/>
      </w:pPr>
      <w:rPr>
        <w:rFonts w:ascii="Times New Roman" w:hAnsi="Times New Roman" w:cs="Times New Roman" w:hint="default"/>
        <w:b w:val="0"/>
        <w:i w:val="0"/>
        <w:caps w:val="0"/>
        <w:strike w:val="0"/>
        <w:dstrike w:val="0"/>
        <w:color w:val="auto"/>
        <w:sz w:val="24"/>
        <w:u w:val="none"/>
        <w:effect w:val="none"/>
      </w:rPr>
    </w:lvl>
    <w:lvl w:ilvl="6">
      <w:start w:val="1"/>
      <w:numFmt w:val="decimal"/>
      <w:pStyle w:val="ArticleL7"/>
      <w:lvlText w:val="(%7)"/>
      <w:lvlJc w:val="left"/>
      <w:pPr>
        <w:tabs>
          <w:tab w:val="num" w:pos="4320"/>
        </w:tabs>
        <w:ind w:left="0" w:firstLine="0"/>
      </w:pPr>
      <w:rPr>
        <w:rFonts w:ascii="Times New Roman" w:hAnsi="Times New Roman" w:cs="Times New Roman" w:hint="default"/>
        <w:b w:val="0"/>
        <w:i w:val="0"/>
        <w:caps w:val="0"/>
        <w:strike w:val="0"/>
        <w:dstrike w:val="0"/>
        <w:color w:val="auto"/>
        <w:sz w:val="24"/>
        <w:u w:val="none"/>
        <w:effect w:val="none"/>
      </w:rPr>
    </w:lvl>
    <w:lvl w:ilvl="7">
      <w:start w:val="1"/>
      <w:numFmt w:val="lowerRoman"/>
      <w:pStyle w:val="ArticleL8"/>
      <w:lvlText w:val="%8."/>
      <w:lvlJc w:val="left"/>
      <w:pPr>
        <w:tabs>
          <w:tab w:val="num" w:pos="5760"/>
        </w:tabs>
        <w:ind w:left="0" w:firstLine="0"/>
      </w:pPr>
      <w:rPr>
        <w:rFonts w:ascii="Times New Roman" w:hAnsi="Times New Roman" w:cs="Times New Roman" w:hint="default"/>
        <w:b w:val="0"/>
        <w:i w:val="0"/>
        <w:caps w:val="0"/>
        <w:strike w:val="0"/>
        <w:dstrike w:val="0"/>
        <w:color w:val="auto"/>
        <w:sz w:val="24"/>
        <w:u w:val="none"/>
        <w:effect w:val="none"/>
      </w:rPr>
    </w:lvl>
    <w:lvl w:ilvl="8">
      <w:start w:val="1"/>
      <w:numFmt w:val="decimal"/>
      <w:pStyle w:val="ArticleL9"/>
      <w:lvlText w:val="%9."/>
      <w:lvlJc w:val="left"/>
      <w:pPr>
        <w:tabs>
          <w:tab w:val="num" w:pos="6480"/>
        </w:tabs>
        <w:ind w:left="0" w:firstLine="0"/>
      </w:pPr>
      <w:rPr>
        <w:rFonts w:ascii="Times New Roman" w:hAnsi="Times New Roman" w:cs="Times New Roman" w:hint="default"/>
        <w:b w:val="0"/>
        <w:i w:val="0"/>
        <w:caps w:val="0"/>
        <w:strike w:val="0"/>
        <w:dstrike w:val="0"/>
        <w:color w:val="auto"/>
        <w:sz w:val="24"/>
        <w:u w:val="none"/>
        <w:effect w:val="none"/>
      </w:rPr>
    </w:lvl>
  </w:abstractNum>
  <w:abstractNum w:abstractNumId="2" w15:restartNumberingAfterBreak="0">
    <w:nsid w:val="21FB43FA"/>
    <w:multiLevelType w:val="multilevel"/>
    <w:tmpl w:val="BDFA9602"/>
    <w:lvl w:ilvl="0">
      <w:start w:val="1"/>
      <w:numFmt w:val="decimal"/>
      <w:pStyle w:val="Heading1"/>
      <w:lvlText w:val="Sᴇᴄᴛɪᴏɴ %1."/>
      <w:lvlJc w:val="left"/>
      <w:pPr>
        <w:ind w:left="0" w:firstLine="0"/>
      </w:pPr>
      <w:rPr>
        <w:rFonts w:ascii="Times New Roman Bold" w:hAnsi="Times New Roman Bold" w:cs="Times New Roman"/>
        <w:caps w:val="0"/>
        <w:strike w:val="0"/>
        <w:dstrike w:val="0"/>
        <w:u w:val="none" w:color="000000"/>
        <w:effect w:val="none"/>
      </w:rPr>
    </w:lvl>
    <w:lvl w:ilvl="1">
      <w:start w:val="1"/>
      <w:numFmt w:val="decimal"/>
      <w:pStyle w:val="Heading2"/>
      <w:isLgl/>
      <w:lvlText w:val="Section %1.%2."/>
      <w:lvlJc w:val="left"/>
      <w:pPr>
        <w:ind w:left="0" w:firstLine="720"/>
      </w:pPr>
      <w:rPr>
        <w:rFonts w:ascii="Times New Roman" w:hAnsi="Times New Roman" w:cs="Times New Roman"/>
        <w:b/>
        <w:strike w:val="0"/>
        <w:dstrike w:val="0"/>
        <w:u w:val="none" w:color="000000"/>
        <w:effect w:val="none"/>
      </w:rPr>
    </w:lvl>
    <w:lvl w:ilvl="2">
      <w:start w:val="1"/>
      <w:numFmt w:val="lowerLetter"/>
      <w:pStyle w:val="Heading3"/>
      <w:lvlText w:val="(%3)"/>
      <w:lvlJc w:val="left"/>
      <w:pPr>
        <w:ind w:left="0" w:firstLine="1440"/>
      </w:pPr>
      <w:rPr>
        <w:rFonts w:ascii="Times New Roman" w:hAnsi="Times New Roman" w:cs="Times New Roman"/>
        <w:strike w:val="0"/>
        <w:dstrike w:val="0"/>
        <w:u w:val="none"/>
        <w:effect w:val="none"/>
      </w:rPr>
    </w:lvl>
    <w:lvl w:ilvl="3">
      <w:start w:val="1"/>
      <w:numFmt w:val="decimal"/>
      <w:pStyle w:val="Heading4"/>
      <w:lvlText w:val="(%4)"/>
      <w:lvlJc w:val="left"/>
      <w:pPr>
        <w:ind w:left="0" w:firstLine="2160"/>
      </w:pPr>
      <w:rPr>
        <w:rFonts w:ascii="Times New Roman" w:hAnsi="Times New Roman" w:cs="Times New Roman"/>
        <w:strike w:val="0"/>
        <w:dstrike w:val="0"/>
        <w:u w:val="none"/>
        <w:effect w:val="none"/>
      </w:rPr>
    </w:lvl>
    <w:lvl w:ilvl="4">
      <w:start w:val="1"/>
      <w:numFmt w:val="lowerRoman"/>
      <w:pStyle w:val="Heading5"/>
      <w:lvlText w:val="(%5)"/>
      <w:lvlJc w:val="left"/>
      <w:pPr>
        <w:ind w:left="720" w:firstLine="1440"/>
      </w:pPr>
      <w:rPr>
        <w:rFonts w:ascii="Times New Roman" w:hAnsi="Times New Roman" w:cs="Times New Roman"/>
        <w:strike w:val="0"/>
        <w:dstrike w:val="0"/>
        <w:u w:val="none"/>
        <w:effect w:val="none"/>
      </w:rPr>
    </w:lvl>
    <w:lvl w:ilvl="5">
      <w:start w:val="1"/>
      <w:numFmt w:val="none"/>
      <w:pStyle w:val="Heading6"/>
      <w:suff w:val="nothing"/>
      <w:lvlText w:val=""/>
      <w:lvlJc w:val="left"/>
      <w:pPr>
        <w:ind w:left="0" w:firstLine="0"/>
      </w:pPr>
      <w:rPr>
        <w:rFonts w:ascii="Times New Roman" w:hAnsi="Times New Roman" w:cs="Times New Roman"/>
        <w:strike w:val="0"/>
        <w:dstrike w:val="0"/>
        <w:u w:val="none"/>
        <w:effect w:val="none"/>
      </w:rPr>
    </w:lvl>
    <w:lvl w:ilvl="6">
      <w:start w:val="1"/>
      <w:numFmt w:val="none"/>
      <w:pStyle w:val="Heading7"/>
      <w:suff w:val="nothing"/>
      <w:lvlText w:val=""/>
      <w:lvlJc w:val="left"/>
      <w:pPr>
        <w:ind w:left="0" w:firstLine="0"/>
      </w:pPr>
      <w:rPr>
        <w:rFonts w:ascii="Times New Roman" w:hAnsi="Times New Roman" w:cs="Times New Roman"/>
        <w:strike w:val="0"/>
        <w:dstrike w:val="0"/>
        <w:u w:val="none"/>
        <w:effect w:val="none"/>
      </w:rPr>
    </w:lvl>
    <w:lvl w:ilvl="7">
      <w:start w:val="1"/>
      <w:numFmt w:val="none"/>
      <w:pStyle w:val="Heading8"/>
      <w:suff w:val="nothing"/>
      <w:lvlText w:val=""/>
      <w:lvlJc w:val="left"/>
      <w:pPr>
        <w:ind w:left="0" w:firstLine="0"/>
      </w:pPr>
      <w:rPr>
        <w:rFonts w:ascii="Times New Roman" w:hAnsi="Times New Roman" w:cs="Times New Roman"/>
        <w:strike w:val="0"/>
        <w:dstrike w:val="0"/>
        <w:u w:val="none"/>
        <w:effect w:val="none"/>
      </w:rPr>
    </w:lvl>
    <w:lvl w:ilvl="8">
      <w:start w:val="1"/>
      <w:numFmt w:val="none"/>
      <w:pStyle w:val="Heading9"/>
      <w:suff w:val="nothing"/>
      <w:lvlText w:val=""/>
      <w:lvlJc w:val="left"/>
      <w:pPr>
        <w:ind w:left="0" w:firstLine="0"/>
      </w:pPr>
      <w:rPr>
        <w:rFonts w:ascii="Times New Roman" w:hAnsi="Times New Roman" w:cs="Times New Roman"/>
        <w:strike w:val="0"/>
        <w:dstrike w:val="0"/>
        <w:u w:val="none"/>
        <w:effect w:val="none"/>
      </w:rPr>
    </w:lvl>
  </w:abstractNum>
  <w:abstractNum w:abstractNumId="3" w15:restartNumberingAfterBreak="0">
    <w:nsid w:val="3A1C7803"/>
    <w:multiLevelType w:val="multilevel"/>
    <w:tmpl w:val="0409001F"/>
    <w:styleLink w:val="111111"/>
    <w:lvl w:ilvl="0">
      <w:start w:val="1"/>
      <w:numFmt w:val="decimal"/>
      <w:lvlText w:val="%1."/>
      <w:lvlJc w:val="left"/>
      <w:pPr>
        <w:tabs>
          <w:tab w:val="num" w:pos="360"/>
        </w:tabs>
        <w:ind w:left="360" w:hanging="360"/>
      </w:pPr>
      <w:rPr>
        <w:rFonts w:ascii="Times New Roman" w:hAnsi="Times New Roman" w:cs="Times New Roman"/>
      </w:r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4" w15:restartNumberingAfterBreak="0">
    <w:nsid w:val="3A713A31"/>
    <w:multiLevelType w:val="multilevel"/>
    <w:tmpl w:val="9EE8C2E4"/>
    <w:lvl w:ilvl="0">
      <w:start w:val="1"/>
      <w:numFmt w:val="decimal"/>
      <w:pStyle w:val="Number1"/>
      <w:lvlText w:val="%1."/>
      <w:lvlJc w:val="left"/>
      <w:pPr>
        <w:ind w:left="648" w:hanging="720"/>
      </w:pPr>
      <w:rPr>
        <w:rFonts w:ascii="Times New Roman" w:hAnsi="Times New Roman" w:cs="Times New Roman" w:hint="default"/>
        <w:b w:val="0"/>
        <w:i w:val="0"/>
        <w:caps w:val="0"/>
        <w:strike w:val="0"/>
        <w:dstrike w:val="0"/>
        <w:outline w:val="0"/>
        <w:shadow w:val="0"/>
        <w:emboss w:val="0"/>
        <w:imprint w:val="0"/>
        <w:vanish w:val="0"/>
        <w:color w:val="auto"/>
        <w:sz w:val="24"/>
        <w:u w:val="none"/>
        <w:effect w:val="none"/>
        <w:vertAlign w:val="baseline"/>
      </w:rPr>
    </w:lvl>
    <w:lvl w:ilvl="1">
      <w:start w:val="1"/>
      <w:numFmt w:val="decimal"/>
      <w:pStyle w:val="Number2"/>
      <w:isLgl/>
      <w:lvlText w:val="%1.%2"/>
      <w:lvlJc w:val="left"/>
      <w:pPr>
        <w:ind w:left="0" w:firstLine="720"/>
      </w:pPr>
      <w:rPr>
        <w:rFonts w:ascii="Times New Roman" w:hAnsi="Times New Roman" w:cs="Times New Roman" w:hint="default"/>
        <w:b w:val="0"/>
        <w:i w:val="0"/>
        <w:caps w:val="0"/>
        <w:strike w:val="0"/>
        <w:dstrike w:val="0"/>
        <w:outline w:val="0"/>
        <w:shadow w:val="0"/>
        <w:emboss w:val="0"/>
        <w:imprint w:val="0"/>
        <w:vanish w:val="0"/>
        <w:color w:val="auto"/>
        <w:sz w:val="24"/>
        <w:u w:val="none"/>
        <w:effect w:val="none"/>
        <w:vertAlign w:val="baseline"/>
      </w:rPr>
    </w:lvl>
    <w:lvl w:ilvl="2">
      <w:start w:val="1"/>
      <w:numFmt w:val="lowerLetter"/>
      <w:pStyle w:val="Number3"/>
      <w:lvlText w:val="(%3)"/>
      <w:lvlJc w:val="left"/>
      <w:pPr>
        <w:ind w:left="0" w:firstLine="720"/>
      </w:pPr>
      <w:rPr>
        <w:rFonts w:ascii="Times New Roman" w:hAnsi="Times New Roman" w:cs="Times New Roman" w:hint="default"/>
        <w:b w:val="0"/>
        <w:i w:val="0"/>
        <w:caps w:val="0"/>
        <w:strike w:val="0"/>
        <w:dstrike w:val="0"/>
        <w:outline w:val="0"/>
        <w:shadow w:val="0"/>
        <w:emboss w:val="0"/>
        <w:imprint w:val="0"/>
        <w:vanish w:val="0"/>
        <w:color w:val="auto"/>
        <w:sz w:val="24"/>
        <w:u w:val="none"/>
        <w:effect w:val="none"/>
        <w:vertAlign w:val="baseline"/>
      </w:rPr>
    </w:lvl>
    <w:lvl w:ilvl="3">
      <w:start w:val="1"/>
      <w:numFmt w:val="lowerRoman"/>
      <w:pStyle w:val="Number4"/>
      <w:lvlText w:val="(%4)"/>
      <w:lvlJc w:val="left"/>
      <w:pPr>
        <w:ind w:left="720" w:firstLine="1440"/>
      </w:pPr>
      <w:rPr>
        <w:rFonts w:ascii="Times New Roman" w:hAnsi="Times New Roman" w:cs="Times New Roman" w:hint="default"/>
        <w:b w:val="0"/>
        <w:i w:val="0"/>
        <w:caps w:val="0"/>
        <w:strike w:val="0"/>
        <w:dstrike w:val="0"/>
        <w:outline w:val="0"/>
        <w:shadow w:val="0"/>
        <w:emboss w:val="0"/>
        <w:imprint w:val="0"/>
        <w:vanish w:val="0"/>
        <w:color w:val="auto"/>
        <w:sz w:val="24"/>
        <w:u w:val="none"/>
        <w:effect w:val="none"/>
        <w:vertAlign w:val="baseline"/>
      </w:rPr>
    </w:lvl>
    <w:lvl w:ilvl="4">
      <w:start w:val="1"/>
      <w:numFmt w:val="upperLetter"/>
      <w:pStyle w:val="Number5"/>
      <w:lvlText w:val="(%5)"/>
      <w:lvlJc w:val="left"/>
      <w:pPr>
        <w:ind w:left="1440" w:firstLine="1440"/>
      </w:pPr>
      <w:rPr>
        <w:rFonts w:ascii="Times New Roman" w:hAnsi="Times New Roman" w:cs="Times New Roman" w:hint="default"/>
        <w:b w:val="0"/>
        <w:i w:val="0"/>
        <w:caps w:val="0"/>
        <w:strike w:val="0"/>
        <w:dstrike w:val="0"/>
        <w:outline w:val="0"/>
        <w:shadow w:val="0"/>
        <w:emboss w:val="0"/>
        <w:imprint w:val="0"/>
        <w:vanish w:val="0"/>
        <w:color w:val="auto"/>
        <w:sz w:val="24"/>
        <w:u w:val="none"/>
        <w:effect w:val="none"/>
        <w:vertAlign w:val="baseline"/>
      </w:rPr>
    </w:lvl>
    <w:lvl w:ilvl="5">
      <w:start w:val="1"/>
      <w:numFmt w:val="decimal"/>
      <w:pStyle w:val="Number6"/>
      <w:lvlText w:val="(%6)"/>
      <w:lvlJc w:val="left"/>
      <w:pPr>
        <w:ind w:left="2160" w:firstLine="1440"/>
      </w:pPr>
      <w:rPr>
        <w:rFonts w:ascii="Times New Roman" w:hAnsi="Times New Roman" w:cs="Times New Roman" w:hint="default"/>
        <w:b w:val="0"/>
        <w:i w:val="0"/>
        <w:caps w:val="0"/>
        <w:strike w:val="0"/>
        <w:dstrike w:val="0"/>
        <w:outline w:val="0"/>
        <w:shadow w:val="0"/>
        <w:emboss w:val="0"/>
        <w:imprint w:val="0"/>
        <w:vanish w:val="0"/>
        <w:color w:val="auto"/>
        <w:sz w:val="24"/>
        <w:u w:val="none"/>
        <w:effect w:val="none"/>
        <w:vertAlign w:val="baseline"/>
      </w:rPr>
    </w:lvl>
    <w:lvl w:ilvl="6">
      <w:start w:val="1"/>
      <w:numFmt w:val="upperLetter"/>
      <w:pStyle w:val="Number7"/>
      <w:lvlText w:val="(%7)"/>
      <w:lvlJc w:val="left"/>
      <w:pPr>
        <w:ind w:left="720" w:hanging="720"/>
      </w:pPr>
      <w:rPr>
        <w:rFonts w:ascii="Times New Roman" w:hAnsi="Times New Roman" w:cs="Times New Roman" w:hint="default"/>
        <w:b w:val="0"/>
        <w:i w:val="0"/>
        <w:caps w:val="0"/>
        <w:strike w:val="0"/>
        <w:dstrike w:val="0"/>
        <w:outline w:val="0"/>
        <w:shadow w:val="0"/>
        <w:emboss w:val="0"/>
        <w:imprint w:val="0"/>
        <w:vanish w:val="0"/>
        <w:color w:val="auto"/>
        <w:sz w:val="24"/>
        <w:u w:val="none"/>
        <w:effect w:val="none"/>
        <w:vertAlign w:val="baseline"/>
      </w:rPr>
    </w:lvl>
    <w:lvl w:ilvl="7">
      <w:start w:val="1"/>
      <w:numFmt w:val="decimal"/>
      <w:pStyle w:val="Number8"/>
      <w:lvlText w:val="(%8)"/>
      <w:lvlJc w:val="left"/>
      <w:pPr>
        <w:ind w:left="1440" w:hanging="720"/>
      </w:pPr>
      <w:rPr>
        <w:rFonts w:ascii="Times New Roman" w:hAnsi="Times New Roman" w:cs="Times New Roman" w:hint="default"/>
        <w:b w:val="0"/>
        <w:i w:val="0"/>
        <w:caps w:val="0"/>
        <w:strike w:val="0"/>
        <w:dstrike w:val="0"/>
        <w:outline w:val="0"/>
        <w:shadow w:val="0"/>
        <w:emboss w:val="0"/>
        <w:imprint w:val="0"/>
        <w:vanish w:val="0"/>
        <w:color w:val="auto"/>
        <w:sz w:val="24"/>
        <w:u w:val="none"/>
        <w:effect w:val="none"/>
        <w:vertAlign w:val="baseline"/>
      </w:rPr>
    </w:lvl>
    <w:lvl w:ilvl="8">
      <w:start w:val="1"/>
      <w:numFmt w:val="lowerLetter"/>
      <w:pStyle w:val="Number9"/>
      <w:lvlText w:val="(%9)"/>
      <w:lvlJc w:val="left"/>
      <w:pPr>
        <w:ind w:left="2160" w:hanging="720"/>
      </w:pPr>
      <w:rPr>
        <w:rFonts w:ascii="Times New Roman" w:hAnsi="Times New Roman" w:cs="Times New Roman" w:hint="default"/>
        <w:b w:val="0"/>
        <w:i w:val="0"/>
        <w:caps w:val="0"/>
        <w:strike w:val="0"/>
        <w:dstrike w:val="0"/>
        <w:outline w:val="0"/>
        <w:shadow w:val="0"/>
        <w:emboss w:val="0"/>
        <w:imprint w:val="0"/>
        <w:vanish w:val="0"/>
        <w:color w:val="auto"/>
        <w:sz w:val="24"/>
        <w:u w:val="none"/>
        <w:effect w:val="none"/>
        <w:vertAlign w:val="baseline"/>
      </w:rPr>
    </w:lvl>
  </w:abstractNum>
  <w:abstractNum w:abstractNumId="5" w15:restartNumberingAfterBreak="0">
    <w:nsid w:val="6C4E4A2B"/>
    <w:multiLevelType w:val="multilevel"/>
    <w:tmpl w:val="01683A8C"/>
    <w:name w:val="Finance Definitions-Scheme 3"/>
    <w:lvl w:ilvl="0">
      <w:start w:val="1"/>
      <w:numFmt w:val="none"/>
      <w:pStyle w:val="S3Heading1"/>
      <w:suff w:val="nothing"/>
      <w:lvlText w:val=""/>
      <w:lvlJc w:val="left"/>
      <w:pPr>
        <w:ind w:left="0" w:firstLine="720"/>
      </w:pPr>
      <w:rPr>
        <w:rFonts w:hint="default"/>
        <w:vanish w:val="0"/>
        <w:color w:val="000000"/>
        <w:u w:val="none"/>
      </w:rPr>
    </w:lvl>
    <w:lvl w:ilvl="1">
      <w:start w:val="1"/>
      <w:numFmt w:val="lowerLetter"/>
      <w:pStyle w:val="S3Heading2"/>
      <w:lvlText w:val="(%2)"/>
      <w:lvlJc w:val="left"/>
      <w:pPr>
        <w:ind w:left="720" w:firstLine="720"/>
      </w:pPr>
      <w:rPr>
        <w:rFonts w:hint="default"/>
        <w:vanish w:val="0"/>
        <w:color w:val="000000"/>
        <w:u w:val="none"/>
      </w:rPr>
    </w:lvl>
    <w:lvl w:ilvl="2">
      <w:start w:val="1"/>
      <w:numFmt w:val="lowerRoman"/>
      <w:pStyle w:val="S3Heading3"/>
      <w:lvlText w:val="(%3)"/>
      <w:lvlJc w:val="left"/>
      <w:pPr>
        <w:ind w:left="1440" w:firstLine="720"/>
      </w:pPr>
      <w:rPr>
        <w:rFonts w:hint="default"/>
        <w:vanish w:val="0"/>
        <w:color w:val="000000"/>
        <w:u w:val="none"/>
      </w:rPr>
    </w:lvl>
    <w:lvl w:ilvl="3">
      <w:start w:val="1"/>
      <w:numFmt w:val="lowerRoman"/>
      <w:pStyle w:val="S3Heading4"/>
      <w:lvlText w:val="(%4)"/>
      <w:lvlJc w:val="left"/>
      <w:pPr>
        <w:ind w:left="720" w:firstLine="1440"/>
      </w:pPr>
      <w:rPr>
        <w:rFonts w:hint="default"/>
        <w:vanish w:val="0"/>
        <w:color w:val="010000"/>
        <w:u w:val="none"/>
      </w:rPr>
    </w:lvl>
    <w:lvl w:ilvl="4">
      <w:start w:val="1"/>
      <w:numFmt w:val="upperLetter"/>
      <w:pStyle w:val="S3Heading5"/>
      <w:lvlText w:val="(%5)"/>
      <w:lvlJc w:val="left"/>
      <w:pPr>
        <w:ind w:left="1440" w:firstLine="1440"/>
      </w:pPr>
      <w:rPr>
        <w:rFonts w:hint="default"/>
        <w:vanish w:val="0"/>
        <w:color w:val="010000"/>
        <w:u w:val="none"/>
      </w:rPr>
    </w:lvl>
    <w:lvl w:ilvl="5">
      <w:start w:val="1"/>
      <w:numFmt w:val="decimal"/>
      <w:pStyle w:val="S3Heading6"/>
      <w:lvlText w:val="(%6)"/>
      <w:lvlJc w:val="left"/>
      <w:pPr>
        <w:ind w:left="2160" w:firstLine="1440"/>
      </w:pPr>
      <w:rPr>
        <w:rFonts w:hint="default"/>
        <w:vanish w:val="0"/>
        <w:color w:val="010000"/>
        <w:u w:val="none"/>
      </w:rPr>
    </w:lvl>
    <w:lvl w:ilvl="6">
      <w:start w:val="1"/>
      <w:numFmt w:val="lowerLetter"/>
      <w:pStyle w:val="S3Heading7"/>
      <w:lvlText w:val="(%7)"/>
      <w:lvlJc w:val="left"/>
      <w:pPr>
        <w:ind w:left="2880" w:firstLine="1440"/>
      </w:pPr>
      <w:rPr>
        <w:rFonts w:hint="default"/>
        <w:vanish w:val="0"/>
        <w:color w:val="010000"/>
        <w:u w:val="none"/>
      </w:rPr>
    </w:lvl>
    <w:lvl w:ilvl="7">
      <w:start w:val="1"/>
      <w:numFmt w:val="lowerRoman"/>
      <w:pStyle w:val="S3Heading8"/>
      <w:lvlText w:val="(%8)"/>
      <w:lvlJc w:val="left"/>
      <w:pPr>
        <w:ind w:left="3600" w:firstLine="1440"/>
      </w:pPr>
      <w:rPr>
        <w:rFonts w:hint="default"/>
        <w:vanish w:val="0"/>
        <w:color w:val="010000"/>
        <w:u w:val="none"/>
      </w:rPr>
    </w:lvl>
    <w:lvl w:ilvl="8">
      <w:start w:val="1"/>
      <w:numFmt w:val="upperLetter"/>
      <w:pStyle w:val="S3Heading9"/>
      <w:lvlText w:val="(%9)"/>
      <w:lvlJc w:val="left"/>
      <w:pPr>
        <w:ind w:left="4320" w:firstLine="1440"/>
      </w:pPr>
      <w:rPr>
        <w:rFonts w:hint="default"/>
        <w:vanish w:val="0"/>
        <w:color w:val="010000"/>
        <w:u w:val="none"/>
      </w:rPr>
    </w:lvl>
  </w:abstractNum>
  <w:abstractNum w:abstractNumId="6" w15:restartNumberingAfterBreak="0">
    <w:nsid w:val="6D483377"/>
    <w:multiLevelType w:val="multilevel"/>
    <w:tmpl w:val="99DC2416"/>
    <w:lvl w:ilvl="0">
      <w:start w:val="1"/>
      <w:numFmt w:val="none"/>
      <w:pStyle w:val="Definition1"/>
      <w:suff w:val="nothing"/>
      <w:lvlText w:val=""/>
      <w:lvlJc w:val="left"/>
      <w:pPr>
        <w:ind w:left="0" w:firstLine="72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1">
      <w:start w:val="1"/>
      <w:numFmt w:val="lowerLetter"/>
      <w:pStyle w:val="Definition2"/>
      <w:lvlText w:val="(%2)"/>
      <w:lvlJc w:val="left"/>
      <w:pPr>
        <w:ind w:left="720" w:firstLine="72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2">
      <w:start w:val="1"/>
      <w:numFmt w:val="decimal"/>
      <w:pStyle w:val="Definition3"/>
      <w:lvlText w:val="(%3)"/>
      <w:lvlJc w:val="left"/>
      <w:pPr>
        <w:ind w:left="720" w:firstLine="72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3">
      <w:start w:val="1"/>
      <w:numFmt w:val="lowerRoman"/>
      <w:pStyle w:val="Definition4"/>
      <w:lvlText w:val="(%4)"/>
      <w:lvlJc w:val="left"/>
      <w:pPr>
        <w:ind w:left="720" w:firstLine="144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4">
      <w:start w:val="1"/>
      <w:numFmt w:val="upperLetter"/>
      <w:pStyle w:val="Definition5"/>
      <w:lvlText w:val="(%5)"/>
      <w:lvlJc w:val="left"/>
      <w:pPr>
        <w:ind w:left="0" w:firstLine="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5">
      <w:start w:val="1"/>
      <w:numFmt w:val="upperRoman"/>
      <w:pStyle w:val="Definition6"/>
      <w:suff w:val="nothing"/>
      <w:lvlText w:val="(%6)"/>
      <w:lvlJc w:val="left"/>
      <w:pPr>
        <w:ind w:left="0" w:firstLine="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6">
      <w:start w:val="1"/>
      <w:numFmt w:val="none"/>
      <w:pStyle w:val="Definition7"/>
      <w:suff w:val="nothing"/>
      <w:lvlText w:val=""/>
      <w:lvlJc w:val="left"/>
      <w:pPr>
        <w:ind w:left="0" w:firstLine="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7">
      <w:start w:val="1"/>
      <w:numFmt w:val="none"/>
      <w:pStyle w:val="Definition8"/>
      <w:suff w:val="nothing"/>
      <w:lvlText w:val=""/>
      <w:lvlJc w:val="left"/>
      <w:pPr>
        <w:ind w:left="0" w:firstLine="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lvl w:ilvl="8">
      <w:start w:val="1"/>
      <w:numFmt w:val="none"/>
      <w:pStyle w:val="Definition9"/>
      <w:suff w:val="nothing"/>
      <w:lvlText w:val=""/>
      <w:lvlJc w:val="left"/>
      <w:pPr>
        <w:ind w:left="0" w:firstLine="0"/>
      </w:pPr>
      <w:rPr>
        <w:rFonts w:ascii="Times New Roman" w:hAnsi="Times New Roman" w:cs="Times New Roman"/>
        <w:b w:val="0"/>
        <w:i w:val="0"/>
        <w:caps w:val="0"/>
        <w:strike w:val="0"/>
        <w:dstrike w:val="0"/>
        <w:outline w:val="0"/>
        <w:shadow w:val="0"/>
        <w:emboss w:val="0"/>
        <w:imprint w:val="0"/>
        <w:vanish w:val="0"/>
        <w:color w:val="auto"/>
        <w:sz w:val="24"/>
        <w:u w:val="none"/>
        <w:effect w:val="none"/>
        <w:vertAlign w:val="baseline"/>
      </w:rPr>
    </w:lvl>
  </w:abstractNum>
  <w:abstractNum w:abstractNumId="7" w15:restartNumberingAfterBreak="0">
    <w:nsid w:val="742D2D20"/>
    <w:multiLevelType w:val="multilevel"/>
    <w:tmpl w:val="1B12F898"/>
    <w:name w:val="(Unnamed Numbering Scheme)"/>
    <w:lvl w:ilvl="0">
      <w:start w:val="1"/>
      <w:numFmt w:val="decimal"/>
      <w:pStyle w:val="S2Heading1"/>
      <w:lvlText w:val="Section %1."/>
      <w:lvlJc w:val="left"/>
      <w:pPr>
        <w:tabs>
          <w:tab w:val="num" w:pos="1440"/>
        </w:tabs>
        <w:ind w:left="1440" w:hanging="1440"/>
      </w:pPr>
      <w:rPr>
        <w:rFonts w:hint="default"/>
        <w:b w:val="0"/>
        <w:i w:val="0"/>
        <w:caps w:val="0"/>
        <w:smallCaps w:val="0"/>
        <w:vanish w:val="0"/>
        <w:color w:val="000000"/>
        <w:u w:val="none"/>
      </w:rPr>
    </w:lvl>
    <w:lvl w:ilvl="1">
      <w:start w:val="1"/>
      <w:numFmt w:val="decimal"/>
      <w:pStyle w:val="S2Heading2"/>
      <w:isLgl/>
      <w:lvlText w:val="Section %1.%2"/>
      <w:lvlJc w:val="left"/>
      <w:pPr>
        <w:tabs>
          <w:tab w:val="num" w:pos="0"/>
        </w:tabs>
        <w:ind w:left="0" w:firstLine="720"/>
      </w:pPr>
      <w:rPr>
        <w:rFonts w:hint="default"/>
        <w:vanish w:val="0"/>
        <w:color w:val="000000"/>
        <w:u w:val="none"/>
      </w:rPr>
    </w:lvl>
    <w:lvl w:ilvl="2">
      <w:start w:val="1"/>
      <w:numFmt w:val="lowerLetter"/>
      <w:pStyle w:val="S2Heading3"/>
      <w:lvlText w:val="(%3)"/>
      <w:lvlJc w:val="left"/>
      <w:pPr>
        <w:tabs>
          <w:tab w:val="num" w:pos="2160"/>
        </w:tabs>
        <w:ind w:left="0" w:firstLine="1440"/>
      </w:pPr>
      <w:rPr>
        <w:rFonts w:hint="default"/>
        <w:vanish w:val="0"/>
        <w:color w:val="000000"/>
        <w:u w:val="none"/>
      </w:rPr>
    </w:lvl>
    <w:lvl w:ilvl="3">
      <w:start w:val="1"/>
      <w:numFmt w:val="decimal"/>
      <w:pStyle w:val="S2Heading4"/>
      <w:lvlText w:val="(%4)"/>
      <w:lvlJc w:val="left"/>
      <w:pPr>
        <w:tabs>
          <w:tab w:val="num" w:pos="2880"/>
        </w:tabs>
        <w:ind w:left="720" w:firstLine="1440"/>
      </w:pPr>
      <w:rPr>
        <w:rFonts w:hint="default"/>
        <w:vanish w:val="0"/>
        <w:color w:val="000000"/>
        <w:u w:val="none"/>
      </w:rPr>
    </w:lvl>
    <w:lvl w:ilvl="4">
      <w:start w:val="1"/>
      <w:numFmt w:val="upperLetter"/>
      <w:pStyle w:val="S2Heading5"/>
      <w:lvlText w:val="(%5)"/>
      <w:lvlJc w:val="left"/>
      <w:pPr>
        <w:tabs>
          <w:tab w:val="num" w:pos="3600"/>
        </w:tabs>
        <w:ind w:left="1440" w:firstLine="1440"/>
      </w:pPr>
      <w:rPr>
        <w:rFonts w:hint="default"/>
        <w:vanish w:val="0"/>
        <w:color w:val="000000"/>
        <w:u w:val="none"/>
      </w:rPr>
    </w:lvl>
    <w:lvl w:ilvl="5">
      <w:start w:val="1"/>
      <w:numFmt w:val="lowerRoman"/>
      <w:pStyle w:val="S2Heading6"/>
      <w:lvlText w:val="(%6)"/>
      <w:lvlJc w:val="left"/>
      <w:pPr>
        <w:ind w:left="720" w:firstLine="1440"/>
      </w:pPr>
      <w:rPr>
        <w:rFonts w:hint="default"/>
        <w:vanish w:val="0"/>
        <w:color w:val="000000"/>
        <w:u w:val="none"/>
      </w:rPr>
    </w:lvl>
    <w:lvl w:ilvl="6">
      <w:start w:val="1"/>
      <w:numFmt w:val="lowerLetter"/>
      <w:pStyle w:val="S2Heading7"/>
      <w:lvlText w:val="(%7)"/>
      <w:lvlJc w:val="left"/>
      <w:pPr>
        <w:tabs>
          <w:tab w:val="num" w:pos="5040"/>
        </w:tabs>
        <w:ind w:left="2880" w:firstLine="1440"/>
      </w:pPr>
      <w:rPr>
        <w:rFonts w:hint="default"/>
        <w:vanish w:val="0"/>
        <w:color w:val="010000"/>
        <w:u w:val="none"/>
      </w:rPr>
    </w:lvl>
    <w:lvl w:ilvl="7">
      <w:start w:val="1"/>
      <w:numFmt w:val="lowerRoman"/>
      <w:pStyle w:val="S2Heading8"/>
      <w:lvlText w:val="(%8)"/>
      <w:lvlJc w:val="left"/>
      <w:pPr>
        <w:tabs>
          <w:tab w:val="num" w:pos="5760"/>
        </w:tabs>
        <w:ind w:left="3600" w:firstLine="1440"/>
      </w:pPr>
      <w:rPr>
        <w:rFonts w:hint="default"/>
        <w:vanish w:val="0"/>
        <w:color w:val="010000"/>
        <w:u w:val="none"/>
      </w:rPr>
    </w:lvl>
    <w:lvl w:ilvl="8">
      <w:start w:val="1"/>
      <w:numFmt w:val="upperLetter"/>
      <w:pStyle w:val="S2Heading9"/>
      <w:lvlText w:val="(%9)"/>
      <w:lvlJc w:val="left"/>
      <w:pPr>
        <w:tabs>
          <w:tab w:val="num" w:pos="6480"/>
        </w:tabs>
        <w:ind w:left="4320" w:firstLine="1440"/>
      </w:pPr>
      <w:rPr>
        <w:rFonts w:hint="default"/>
        <w:vanish w:val="0"/>
        <w:color w:val="010000"/>
        <w:u w:val="none"/>
      </w:rPr>
    </w:lvl>
  </w:abstractNum>
  <w:abstractNum w:abstractNumId="8" w15:restartNumberingAfterBreak="0">
    <w:nsid w:val="7BB65597"/>
    <w:multiLevelType w:val="multilevel"/>
    <w:tmpl w:val="EA4CFD64"/>
    <w:name w:val="Exhibits-Scheme 1"/>
    <w:lvl w:ilvl="0">
      <w:start w:val="1"/>
      <w:numFmt w:val="upperLetter"/>
      <w:suff w:val="nothing"/>
      <w:lvlText w:val="Schedule %1"/>
      <w:lvlJc w:val="left"/>
      <w:pPr>
        <w:ind w:left="0" w:firstLine="0"/>
      </w:pPr>
      <w:rPr>
        <w:rFonts w:hint="default"/>
        <w:b/>
        <w:caps/>
        <w:smallCaps w:val="0"/>
        <w:vanish w:val="0"/>
        <w:color w:val="000000"/>
        <w:u w:val="none"/>
      </w:rPr>
    </w:lvl>
    <w:lvl w:ilvl="1">
      <w:start w:val="1"/>
      <w:numFmt w:val="lowerLetter"/>
      <w:suff w:val="nothing"/>
      <w:lvlText w:val="Schedule 1(%2)"/>
      <w:lvlJc w:val="left"/>
      <w:pPr>
        <w:ind w:left="4050" w:hanging="4050"/>
      </w:pPr>
      <w:rPr>
        <w:rFonts w:hint="default"/>
        <w:caps w:val="0"/>
        <w:vanish w:val="0"/>
        <w:color w:val="000000"/>
        <w:u w:val="none"/>
      </w:rPr>
    </w:lvl>
    <w:lvl w:ilvl="2">
      <w:start w:val="1"/>
      <w:numFmt w:val="lowerLetter"/>
      <w:lvlText w:val="(%3)"/>
      <w:lvlJc w:val="left"/>
      <w:pPr>
        <w:tabs>
          <w:tab w:val="num" w:pos="2160"/>
        </w:tabs>
        <w:ind w:left="720" w:firstLine="720"/>
      </w:pPr>
      <w:rPr>
        <w:rFonts w:hint="default"/>
        <w:vanish w:val="0"/>
        <w:color w:val="010000"/>
        <w:u w:val="none"/>
      </w:rPr>
    </w:lvl>
    <w:lvl w:ilvl="3">
      <w:start w:val="1"/>
      <w:numFmt w:val="lowerRoman"/>
      <w:lvlText w:val="(%4)"/>
      <w:lvlJc w:val="left"/>
      <w:pPr>
        <w:tabs>
          <w:tab w:val="num" w:pos="2880"/>
        </w:tabs>
        <w:ind w:left="1440" w:firstLine="720"/>
      </w:pPr>
      <w:rPr>
        <w:rFonts w:hint="default"/>
        <w:vanish w:val="0"/>
        <w:color w:val="010000"/>
        <w:u w:val="none"/>
      </w:rPr>
    </w:lvl>
    <w:lvl w:ilvl="4">
      <w:start w:val="1"/>
      <w:numFmt w:val="upperLetter"/>
      <w:lvlText w:val="%5."/>
      <w:lvlJc w:val="left"/>
      <w:pPr>
        <w:tabs>
          <w:tab w:val="num" w:pos="3600"/>
        </w:tabs>
        <w:ind w:left="2160" w:firstLine="720"/>
      </w:pPr>
      <w:rPr>
        <w:rFonts w:hint="default"/>
        <w:vanish w:val="0"/>
        <w:color w:val="010000"/>
        <w:u w:val="none"/>
      </w:rPr>
    </w:lvl>
    <w:lvl w:ilvl="5">
      <w:start w:val="1"/>
      <w:numFmt w:val="decimal"/>
      <w:lvlRestart w:val="1"/>
      <w:suff w:val="nothing"/>
      <w:lvlText w:val="Appendix %6"/>
      <w:lvlJc w:val="left"/>
      <w:pPr>
        <w:ind w:left="0" w:firstLine="0"/>
      </w:pPr>
      <w:rPr>
        <w:rFonts w:hint="default"/>
        <w:b/>
        <w:caps/>
        <w:smallCaps w:val="0"/>
        <w:vanish w:val="0"/>
        <w:color w:val="010000"/>
        <w:u w:val="none"/>
      </w:rPr>
    </w:lvl>
    <w:lvl w:ilvl="6">
      <w:start w:val="1"/>
      <w:numFmt w:val="decimal"/>
      <w:lvlText w:val="%7."/>
      <w:lvlJc w:val="left"/>
      <w:pPr>
        <w:tabs>
          <w:tab w:val="num" w:pos="1440"/>
        </w:tabs>
        <w:ind w:left="0" w:firstLine="720"/>
      </w:pPr>
      <w:rPr>
        <w:rFonts w:hint="default"/>
        <w:vanish w:val="0"/>
        <w:color w:val="010000"/>
        <w:u w:val="none"/>
      </w:rPr>
    </w:lvl>
    <w:lvl w:ilvl="7">
      <w:start w:val="1"/>
      <w:numFmt w:val="lowerLetter"/>
      <w:lvlText w:val="(%8)"/>
      <w:lvlJc w:val="left"/>
      <w:pPr>
        <w:tabs>
          <w:tab w:val="num" w:pos="2160"/>
        </w:tabs>
        <w:ind w:left="720" w:firstLine="720"/>
      </w:pPr>
      <w:rPr>
        <w:rFonts w:hint="default"/>
        <w:vanish w:val="0"/>
        <w:color w:val="010000"/>
        <w:u w:val="none"/>
      </w:rPr>
    </w:lvl>
    <w:lvl w:ilvl="8">
      <w:start w:val="1"/>
      <w:numFmt w:val="lowerRoman"/>
      <w:lvlText w:val="(%9)"/>
      <w:lvlJc w:val="left"/>
      <w:pPr>
        <w:tabs>
          <w:tab w:val="num" w:pos="2880"/>
        </w:tabs>
        <w:ind w:left="1440" w:firstLine="720"/>
      </w:pPr>
      <w:rPr>
        <w:rFonts w:hint="default"/>
        <w:vanish w:val="0"/>
        <w:color w:val="010000"/>
        <w:u w:val="none"/>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4"/>
  </w:num>
  <w:num w:numId="4">
    <w:abstractNumId w:val="6"/>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5"/>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270"/>
    <w:rsid w:val="001C1748"/>
    <w:rsid w:val="004833F5"/>
    <w:rsid w:val="00565BEF"/>
    <w:rsid w:val="005773F5"/>
    <w:rsid w:val="005F6270"/>
    <w:rsid w:val="00732873"/>
    <w:rsid w:val="007803C8"/>
    <w:rsid w:val="00AD040A"/>
    <w:rsid w:val="00B546A4"/>
    <w:rsid w:val="00C6282F"/>
    <w:rsid w:val="00CE4365"/>
    <w:rsid w:val="00D05CDB"/>
    <w:rsid w:val="00D26C1B"/>
    <w:rsid w:val="00D82461"/>
    <w:rsid w:val="00E35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EF832"/>
  <w15:chartTrackingRefBased/>
  <w15:docId w15:val="{4BB2C035-880F-40F4-9B87-47CDFADE1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5"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uiPriority="0"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BodyText"/>
    <w:link w:val="Heading1Char"/>
    <w:uiPriority w:val="5"/>
    <w:qFormat/>
    <w:rsid w:val="005F6270"/>
    <w:pPr>
      <w:keepNext/>
      <w:numPr>
        <w:numId w:val="1"/>
      </w:numPr>
      <w:spacing w:after="240" w:line="240" w:lineRule="auto"/>
      <w:jc w:val="both"/>
      <w:outlineLvl w:val="0"/>
    </w:pPr>
    <w:rPr>
      <w:rFonts w:ascii="Times New Roman" w:hAnsi="Times New Roman" w:eastAsia="Times New Roman" w:cs="Times New Roman"/>
      <w:b/>
      <w:bCs/>
      <w:smallCaps/>
      <w:sz w:val="24"/>
      <w:szCs w:val="32"/>
    </w:rPr>
  </w:style>
  <w:style w:type="paragraph" w:styleId="Heading2">
    <w:name w:val="heading 2"/>
    <w:basedOn w:val="Normal"/>
    <w:next w:val="BodyText"/>
    <w:link w:val="Heading2Char"/>
    <w:uiPriority w:val="9"/>
    <w:unhideWhenUsed/>
    <w:qFormat/>
    <w:rsid w:val="005F6270"/>
    <w:pPr>
      <w:numPr>
        <w:ilvl w:val="1"/>
        <w:numId w:val="1"/>
      </w:numPr>
      <w:spacing w:after="240" w:line="240" w:lineRule="auto"/>
      <w:jc w:val="both"/>
      <w:outlineLvl w:val="1"/>
    </w:pPr>
    <w:rPr>
      <w:rFonts w:ascii="Times New Roman" w:hAnsi="Times New Roman" w:eastAsia="Times New Roman" w:cs="Times New Roman"/>
      <w:bCs/>
      <w:iCs/>
      <w:sz w:val="24"/>
      <w:szCs w:val="28"/>
    </w:rPr>
  </w:style>
  <w:style w:type="paragraph" w:styleId="Heading3">
    <w:name w:val="heading 3"/>
    <w:basedOn w:val="Normal"/>
    <w:next w:val="BodyText"/>
    <w:link w:val="Heading3Char"/>
    <w:uiPriority w:val="9"/>
    <w:semiHidden/>
    <w:unhideWhenUsed/>
    <w:qFormat/>
    <w:rsid w:val="005F6270"/>
    <w:pPr>
      <w:numPr>
        <w:ilvl w:val="2"/>
        <w:numId w:val="1"/>
      </w:numPr>
      <w:spacing w:after="240" w:line="240" w:lineRule="auto"/>
      <w:jc w:val="both"/>
      <w:outlineLvl w:val="2"/>
    </w:pPr>
    <w:rPr>
      <w:rFonts w:ascii="Times New Roman" w:hAnsi="Times New Roman" w:eastAsia="Times New Roman" w:cs="Times New Roman"/>
      <w:bCs/>
      <w:sz w:val="24"/>
      <w:szCs w:val="26"/>
    </w:rPr>
  </w:style>
  <w:style w:type="paragraph" w:styleId="Heading4">
    <w:name w:val="heading 4"/>
    <w:basedOn w:val="Normal"/>
    <w:next w:val="BodyText"/>
    <w:link w:val="Heading4Char"/>
    <w:uiPriority w:val="9"/>
    <w:semiHidden/>
    <w:unhideWhenUsed/>
    <w:qFormat/>
    <w:rsid w:val="005F6270"/>
    <w:pPr>
      <w:numPr>
        <w:ilvl w:val="3"/>
        <w:numId w:val="1"/>
      </w:numPr>
      <w:spacing w:after="240" w:line="240" w:lineRule="auto"/>
      <w:jc w:val="both"/>
      <w:outlineLvl w:val="3"/>
    </w:pPr>
    <w:rPr>
      <w:rFonts w:ascii="Times New Roman" w:hAnsi="Times New Roman" w:eastAsia="Times New Roman" w:cs="Times New Roman"/>
      <w:bCs/>
      <w:sz w:val="24"/>
      <w:szCs w:val="28"/>
    </w:rPr>
  </w:style>
  <w:style w:type="paragraph" w:styleId="Heading5">
    <w:name w:val="heading 5"/>
    <w:basedOn w:val="Normal"/>
    <w:next w:val="BodyText"/>
    <w:link w:val="Heading5Char"/>
    <w:uiPriority w:val="9"/>
    <w:semiHidden/>
    <w:unhideWhenUsed/>
    <w:qFormat/>
    <w:rsid w:val="005F6270"/>
    <w:pPr>
      <w:numPr>
        <w:ilvl w:val="4"/>
        <w:numId w:val="1"/>
      </w:numPr>
      <w:spacing w:after="240" w:line="240" w:lineRule="auto"/>
      <w:jc w:val="both"/>
      <w:outlineLvl w:val="4"/>
    </w:pPr>
    <w:rPr>
      <w:rFonts w:ascii="Times New Roman" w:hAnsi="Times New Roman" w:eastAsia="Times New Roman" w:cs="Times New Roman"/>
      <w:bCs/>
      <w:iCs/>
      <w:sz w:val="24"/>
      <w:szCs w:val="26"/>
    </w:rPr>
  </w:style>
  <w:style w:type="paragraph" w:styleId="Heading6">
    <w:name w:val="heading 6"/>
    <w:basedOn w:val="Normal"/>
    <w:next w:val="BodyText"/>
    <w:link w:val="Heading6Char"/>
    <w:uiPriority w:val="9"/>
    <w:semiHidden/>
    <w:unhideWhenUsed/>
    <w:qFormat/>
    <w:rsid w:val="005F6270"/>
    <w:pPr>
      <w:numPr>
        <w:ilvl w:val="5"/>
        <w:numId w:val="1"/>
      </w:numPr>
      <w:spacing w:after="240" w:line="240" w:lineRule="auto"/>
      <w:jc w:val="both"/>
      <w:outlineLvl w:val="5"/>
    </w:pPr>
    <w:rPr>
      <w:rFonts w:ascii="Times New Roman" w:hAnsi="Times New Roman" w:eastAsia="Times New Roman" w:cs="Times New Roman"/>
      <w:bCs/>
      <w:sz w:val="24"/>
    </w:rPr>
  </w:style>
  <w:style w:type="paragraph" w:styleId="Heading7">
    <w:name w:val="heading 7"/>
    <w:basedOn w:val="Normal"/>
    <w:next w:val="BodyText"/>
    <w:link w:val="Heading7Char"/>
    <w:uiPriority w:val="9"/>
    <w:semiHidden/>
    <w:unhideWhenUsed/>
    <w:qFormat/>
    <w:rsid w:val="005F6270"/>
    <w:pPr>
      <w:numPr>
        <w:ilvl w:val="6"/>
        <w:numId w:val="1"/>
      </w:numPr>
      <w:spacing w:after="240" w:line="240" w:lineRule="auto"/>
      <w:jc w:val="both"/>
      <w:outlineLvl w:val="6"/>
    </w:pPr>
    <w:rPr>
      <w:rFonts w:ascii="Times New Roman" w:hAnsi="Times New Roman" w:cs="Times New Roman"/>
      <w:sz w:val="24"/>
      <w:szCs w:val="24"/>
    </w:rPr>
  </w:style>
  <w:style w:type="paragraph" w:styleId="Heading8">
    <w:name w:val="heading 8"/>
    <w:basedOn w:val="Normal"/>
    <w:next w:val="BodyText"/>
    <w:link w:val="Heading8Char"/>
    <w:uiPriority w:val="9"/>
    <w:semiHidden/>
    <w:unhideWhenUsed/>
    <w:qFormat/>
    <w:rsid w:val="005F6270"/>
    <w:pPr>
      <w:numPr>
        <w:ilvl w:val="7"/>
        <w:numId w:val="1"/>
      </w:numPr>
      <w:spacing w:after="240" w:line="240" w:lineRule="auto"/>
      <w:jc w:val="both"/>
      <w:outlineLvl w:val="7"/>
    </w:pPr>
    <w:rPr>
      <w:rFonts w:ascii="Times New Roman" w:hAnsi="Times New Roman" w:cs="Times New Roman"/>
      <w:iCs/>
      <w:sz w:val="24"/>
      <w:szCs w:val="24"/>
    </w:rPr>
  </w:style>
  <w:style w:type="paragraph" w:styleId="Heading9">
    <w:name w:val="heading 9"/>
    <w:basedOn w:val="Normal"/>
    <w:next w:val="BodyText"/>
    <w:link w:val="Heading9Char"/>
    <w:uiPriority w:val="9"/>
    <w:semiHidden/>
    <w:unhideWhenUsed/>
    <w:qFormat/>
    <w:rsid w:val="005F6270"/>
    <w:pPr>
      <w:numPr>
        <w:ilvl w:val="8"/>
        <w:numId w:val="1"/>
      </w:numPr>
      <w:spacing w:after="240" w:line="240" w:lineRule="auto"/>
      <w:jc w:val="both"/>
      <w:outlineLvl w:val="8"/>
    </w:pPr>
    <w:rPr>
      <w:rFonts w:ascii="Times New Roman" w:hAnsi="Times New Roman" w:eastAsia="Times New Roman" w:cs="Times New Roman"/>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5"/>
    <w:rsid w:val="005F6270"/>
    <w:rPr>
      <w:rFonts w:ascii="Times New Roman" w:hAnsi="Times New Roman" w:eastAsia="Times New Roman" w:cs="Times New Roman"/>
      <w:b/>
      <w:bCs/>
      <w:smallCaps/>
      <w:sz w:val="24"/>
      <w:szCs w:val="32"/>
    </w:rPr>
  </w:style>
  <w:style w:type="character" w:styleId="Heading2Char" w:customStyle="1">
    <w:name w:val="Heading 2 Char"/>
    <w:basedOn w:val="DefaultParagraphFont"/>
    <w:link w:val="Heading2"/>
    <w:uiPriority w:val="9"/>
    <w:rsid w:val="005F6270"/>
    <w:rPr>
      <w:rFonts w:ascii="Times New Roman" w:hAnsi="Times New Roman" w:eastAsia="Times New Roman" w:cs="Times New Roman"/>
      <w:bCs/>
      <w:iCs/>
      <w:sz w:val="24"/>
      <w:szCs w:val="28"/>
    </w:rPr>
  </w:style>
  <w:style w:type="character" w:styleId="Heading3Char" w:customStyle="1">
    <w:name w:val="Heading 3 Char"/>
    <w:basedOn w:val="DefaultParagraphFont"/>
    <w:link w:val="Heading3"/>
    <w:uiPriority w:val="9"/>
    <w:semiHidden/>
    <w:rsid w:val="005F6270"/>
    <w:rPr>
      <w:rFonts w:ascii="Times New Roman" w:hAnsi="Times New Roman" w:eastAsia="Times New Roman" w:cs="Times New Roman"/>
      <w:bCs/>
      <w:sz w:val="24"/>
      <w:szCs w:val="26"/>
    </w:rPr>
  </w:style>
  <w:style w:type="character" w:styleId="Heading4Char" w:customStyle="1">
    <w:name w:val="Heading 4 Char"/>
    <w:basedOn w:val="DefaultParagraphFont"/>
    <w:link w:val="Heading4"/>
    <w:uiPriority w:val="9"/>
    <w:semiHidden/>
    <w:rsid w:val="005F6270"/>
    <w:rPr>
      <w:rFonts w:ascii="Times New Roman" w:hAnsi="Times New Roman" w:eastAsia="Times New Roman" w:cs="Times New Roman"/>
      <w:bCs/>
      <w:sz w:val="24"/>
      <w:szCs w:val="28"/>
    </w:rPr>
  </w:style>
  <w:style w:type="character" w:styleId="Heading5Char" w:customStyle="1">
    <w:name w:val="Heading 5 Char"/>
    <w:basedOn w:val="DefaultParagraphFont"/>
    <w:link w:val="Heading5"/>
    <w:uiPriority w:val="9"/>
    <w:semiHidden/>
    <w:rsid w:val="005F6270"/>
    <w:rPr>
      <w:rFonts w:ascii="Times New Roman" w:hAnsi="Times New Roman" w:eastAsia="Times New Roman" w:cs="Times New Roman"/>
      <w:bCs/>
      <w:iCs/>
      <w:sz w:val="24"/>
      <w:szCs w:val="26"/>
    </w:rPr>
  </w:style>
  <w:style w:type="character" w:styleId="Heading6Char" w:customStyle="1">
    <w:name w:val="Heading 6 Char"/>
    <w:basedOn w:val="DefaultParagraphFont"/>
    <w:link w:val="Heading6"/>
    <w:uiPriority w:val="9"/>
    <w:semiHidden/>
    <w:rsid w:val="005F6270"/>
    <w:rPr>
      <w:rFonts w:ascii="Times New Roman" w:hAnsi="Times New Roman" w:eastAsia="Times New Roman" w:cs="Times New Roman"/>
      <w:bCs/>
      <w:sz w:val="24"/>
    </w:rPr>
  </w:style>
  <w:style w:type="character" w:styleId="Heading7Char" w:customStyle="1">
    <w:name w:val="Heading 7 Char"/>
    <w:basedOn w:val="DefaultParagraphFont"/>
    <w:link w:val="Heading7"/>
    <w:uiPriority w:val="9"/>
    <w:semiHidden/>
    <w:rsid w:val="005F6270"/>
    <w:rPr>
      <w:rFonts w:ascii="Times New Roman" w:hAnsi="Times New Roman" w:cs="Times New Roman"/>
      <w:sz w:val="24"/>
      <w:szCs w:val="24"/>
    </w:rPr>
  </w:style>
  <w:style w:type="character" w:styleId="Heading8Char" w:customStyle="1">
    <w:name w:val="Heading 8 Char"/>
    <w:basedOn w:val="DefaultParagraphFont"/>
    <w:link w:val="Heading8"/>
    <w:uiPriority w:val="9"/>
    <w:semiHidden/>
    <w:rsid w:val="005F6270"/>
    <w:rPr>
      <w:rFonts w:ascii="Times New Roman" w:hAnsi="Times New Roman" w:cs="Times New Roman"/>
      <w:iCs/>
      <w:sz w:val="24"/>
      <w:szCs w:val="24"/>
    </w:rPr>
  </w:style>
  <w:style w:type="character" w:styleId="Heading9Char" w:customStyle="1">
    <w:name w:val="Heading 9 Char"/>
    <w:basedOn w:val="DefaultParagraphFont"/>
    <w:link w:val="Heading9"/>
    <w:uiPriority w:val="9"/>
    <w:semiHidden/>
    <w:rsid w:val="005F6270"/>
    <w:rPr>
      <w:rFonts w:ascii="Times New Roman" w:hAnsi="Times New Roman" w:eastAsia="Times New Roman" w:cs="Times New Roman"/>
      <w:sz w:val="24"/>
    </w:rPr>
  </w:style>
  <w:style w:type="paragraph" w:styleId="BodyText">
    <w:name w:val="Body Text"/>
    <w:basedOn w:val="Normal"/>
    <w:link w:val="BodyTextChar"/>
    <w:semiHidden/>
    <w:unhideWhenUsed/>
    <w:qFormat/>
    <w:rsid w:val="005F6270"/>
    <w:pPr>
      <w:spacing w:after="240" w:line="240" w:lineRule="auto"/>
      <w:jc w:val="both"/>
    </w:pPr>
    <w:rPr>
      <w:rFonts w:ascii="Times New Roman" w:hAnsi="Times New Roman" w:cs="Times New Roman"/>
      <w:sz w:val="24"/>
      <w:szCs w:val="24"/>
      <w:lang w:bidi="en-US"/>
    </w:rPr>
  </w:style>
  <w:style w:type="character" w:styleId="BodyTextChar" w:customStyle="1">
    <w:name w:val="Body Text Char"/>
    <w:basedOn w:val="DefaultParagraphFont"/>
    <w:link w:val="BodyText"/>
    <w:semiHidden/>
    <w:rsid w:val="005F6270"/>
    <w:rPr>
      <w:rFonts w:ascii="Times New Roman" w:hAnsi="Times New Roman" w:cs="Times New Roman"/>
      <w:sz w:val="24"/>
      <w:szCs w:val="24"/>
      <w:lang w:bidi="en-US"/>
    </w:rPr>
  </w:style>
  <w:style w:type="paragraph" w:styleId="BodyTextFirstIndent">
    <w:name w:val="Body Text First Indent"/>
    <w:basedOn w:val="BodyText"/>
    <w:link w:val="BodyTextFirstIndentChar"/>
    <w:uiPriority w:val="99"/>
    <w:semiHidden/>
    <w:unhideWhenUsed/>
    <w:rsid w:val="005F6270"/>
    <w:pPr>
      <w:spacing w:after="160" w:line="259" w:lineRule="auto"/>
      <w:ind w:firstLine="360"/>
      <w:jc w:val="left"/>
    </w:pPr>
    <w:rPr>
      <w:rFonts w:asciiTheme="minorHAnsi" w:hAnsiTheme="minorHAnsi" w:cstheme="minorBidi"/>
      <w:sz w:val="22"/>
      <w:szCs w:val="22"/>
      <w:lang w:bidi="ar-SA"/>
    </w:rPr>
  </w:style>
  <w:style w:type="character" w:styleId="BodyTextFirstIndentChar" w:customStyle="1">
    <w:name w:val="Body Text First Indent Char"/>
    <w:basedOn w:val="BodyTextChar"/>
    <w:link w:val="BodyTextFirstIndent"/>
    <w:uiPriority w:val="99"/>
    <w:semiHidden/>
    <w:rsid w:val="005F6270"/>
    <w:rPr>
      <w:rFonts w:ascii="Times New Roman" w:hAnsi="Times New Roman" w:cs="Times New Roman"/>
      <w:sz w:val="24"/>
      <w:szCs w:val="24"/>
      <w:lang w:bidi="en-US"/>
    </w:rPr>
  </w:style>
  <w:style w:type="numbering" w:styleId="111111">
    <w:name w:val="Outline List 2"/>
    <w:basedOn w:val="NoList"/>
    <w:semiHidden/>
    <w:rsid w:val="00D26C1B"/>
    <w:pPr>
      <w:numPr>
        <w:numId w:val="2"/>
      </w:numPr>
    </w:pPr>
  </w:style>
  <w:style w:type="paragraph" w:styleId="Number1" w:customStyle="1">
    <w:name w:val="Number 1"/>
    <w:aliases w:val="N1"/>
    <w:basedOn w:val="Normal"/>
    <w:rsid w:val="00D26C1B"/>
    <w:pPr>
      <w:keepNext/>
      <w:keepLines/>
      <w:numPr>
        <w:numId w:val="3"/>
      </w:numPr>
      <w:spacing w:after="240" w:line="240" w:lineRule="auto"/>
      <w:jc w:val="both"/>
      <w:outlineLvl w:val="0"/>
    </w:pPr>
    <w:rPr>
      <w:rFonts w:ascii="Times New Roman" w:hAnsi="Times New Roman" w:eastAsia="Times New Roman" w:cs="Times New Roman"/>
      <w:sz w:val="24"/>
      <w:szCs w:val="24"/>
      <w:u w:val="single"/>
    </w:rPr>
  </w:style>
  <w:style w:type="paragraph" w:styleId="Number2" w:customStyle="1">
    <w:name w:val="Number 2"/>
    <w:aliases w:val="N2"/>
    <w:basedOn w:val="Normal"/>
    <w:rsid w:val="00D26C1B"/>
    <w:pPr>
      <w:numPr>
        <w:ilvl w:val="1"/>
        <w:numId w:val="3"/>
      </w:numPr>
      <w:spacing w:after="240" w:line="240" w:lineRule="auto"/>
      <w:jc w:val="both"/>
      <w:outlineLvl w:val="1"/>
    </w:pPr>
    <w:rPr>
      <w:rFonts w:ascii="Times New Roman" w:hAnsi="Times New Roman" w:eastAsia="Times New Roman" w:cs="Times New Roman"/>
      <w:sz w:val="24"/>
      <w:szCs w:val="24"/>
    </w:rPr>
  </w:style>
  <w:style w:type="paragraph" w:styleId="Number3" w:customStyle="1">
    <w:name w:val="Number 3"/>
    <w:aliases w:val="N3"/>
    <w:basedOn w:val="Normal"/>
    <w:rsid w:val="00D26C1B"/>
    <w:pPr>
      <w:numPr>
        <w:ilvl w:val="2"/>
        <w:numId w:val="3"/>
      </w:numPr>
      <w:spacing w:after="240" w:line="240" w:lineRule="auto"/>
      <w:jc w:val="both"/>
      <w:outlineLvl w:val="2"/>
    </w:pPr>
    <w:rPr>
      <w:rFonts w:ascii="Times New Roman" w:hAnsi="Times New Roman" w:eastAsia="Times New Roman" w:cs="Times New Roman"/>
      <w:sz w:val="24"/>
      <w:szCs w:val="24"/>
    </w:rPr>
  </w:style>
  <w:style w:type="paragraph" w:styleId="Number4" w:customStyle="1">
    <w:name w:val="Number 4"/>
    <w:aliases w:val="N4"/>
    <w:basedOn w:val="Normal"/>
    <w:rsid w:val="00D26C1B"/>
    <w:pPr>
      <w:numPr>
        <w:ilvl w:val="3"/>
        <w:numId w:val="3"/>
      </w:numPr>
      <w:spacing w:after="240" w:line="240" w:lineRule="auto"/>
      <w:jc w:val="both"/>
      <w:outlineLvl w:val="3"/>
    </w:pPr>
    <w:rPr>
      <w:rFonts w:ascii="Times New Roman" w:hAnsi="Times New Roman" w:eastAsia="Times New Roman" w:cs="Times New Roman"/>
      <w:sz w:val="24"/>
      <w:szCs w:val="24"/>
    </w:rPr>
  </w:style>
  <w:style w:type="paragraph" w:styleId="Number5" w:customStyle="1">
    <w:name w:val="Number 5"/>
    <w:aliases w:val="N5"/>
    <w:basedOn w:val="Normal"/>
    <w:rsid w:val="00D26C1B"/>
    <w:pPr>
      <w:numPr>
        <w:ilvl w:val="4"/>
        <w:numId w:val="3"/>
      </w:numPr>
      <w:spacing w:after="240" w:line="240" w:lineRule="auto"/>
      <w:jc w:val="both"/>
      <w:outlineLvl w:val="4"/>
    </w:pPr>
    <w:rPr>
      <w:rFonts w:ascii="Times New Roman" w:hAnsi="Times New Roman" w:eastAsia="Times New Roman" w:cs="Times New Roman"/>
      <w:sz w:val="24"/>
      <w:szCs w:val="24"/>
    </w:rPr>
  </w:style>
  <w:style w:type="paragraph" w:styleId="Number6" w:customStyle="1">
    <w:name w:val="Number 6"/>
    <w:aliases w:val="N6"/>
    <w:basedOn w:val="Normal"/>
    <w:rsid w:val="00D26C1B"/>
    <w:pPr>
      <w:numPr>
        <w:ilvl w:val="5"/>
        <w:numId w:val="3"/>
      </w:numPr>
      <w:spacing w:after="240" w:line="240" w:lineRule="auto"/>
      <w:jc w:val="both"/>
      <w:outlineLvl w:val="5"/>
    </w:pPr>
    <w:rPr>
      <w:rFonts w:ascii="Times New Roman" w:hAnsi="Times New Roman" w:eastAsia="Times New Roman" w:cs="Times New Roman"/>
      <w:sz w:val="24"/>
      <w:szCs w:val="24"/>
    </w:rPr>
  </w:style>
  <w:style w:type="paragraph" w:styleId="Number7" w:customStyle="1">
    <w:name w:val="Number 7"/>
    <w:aliases w:val="N7"/>
    <w:basedOn w:val="Normal"/>
    <w:rsid w:val="00D26C1B"/>
    <w:pPr>
      <w:keepNext/>
      <w:numPr>
        <w:ilvl w:val="6"/>
        <w:numId w:val="3"/>
      </w:numPr>
      <w:spacing w:after="240" w:line="240" w:lineRule="auto"/>
      <w:jc w:val="both"/>
      <w:outlineLvl w:val="6"/>
    </w:pPr>
    <w:rPr>
      <w:rFonts w:ascii="Times New Roman" w:hAnsi="Times New Roman" w:eastAsia="Times New Roman" w:cs="Times New Roman"/>
      <w:sz w:val="24"/>
      <w:szCs w:val="24"/>
    </w:rPr>
  </w:style>
  <w:style w:type="paragraph" w:styleId="Number8" w:customStyle="1">
    <w:name w:val="Number 8"/>
    <w:aliases w:val="N8"/>
    <w:basedOn w:val="Normal"/>
    <w:rsid w:val="00D26C1B"/>
    <w:pPr>
      <w:numPr>
        <w:ilvl w:val="7"/>
        <w:numId w:val="3"/>
      </w:numPr>
      <w:spacing w:after="240" w:line="240" w:lineRule="auto"/>
      <w:jc w:val="both"/>
      <w:outlineLvl w:val="7"/>
    </w:pPr>
    <w:rPr>
      <w:rFonts w:ascii="Times New Roman" w:hAnsi="Times New Roman" w:eastAsia="Times New Roman" w:cs="Times New Roman"/>
      <w:sz w:val="24"/>
      <w:szCs w:val="24"/>
    </w:rPr>
  </w:style>
  <w:style w:type="paragraph" w:styleId="Number9" w:customStyle="1">
    <w:name w:val="Number 9"/>
    <w:aliases w:val="N9"/>
    <w:basedOn w:val="Normal"/>
    <w:rsid w:val="00D26C1B"/>
    <w:pPr>
      <w:numPr>
        <w:ilvl w:val="8"/>
        <w:numId w:val="3"/>
      </w:numPr>
      <w:spacing w:after="240" w:line="240" w:lineRule="auto"/>
      <w:jc w:val="both"/>
      <w:outlineLvl w:val="8"/>
    </w:pPr>
    <w:rPr>
      <w:rFonts w:ascii="Times New Roman" w:hAnsi="Times New Roman" w:eastAsia="Times New Roman" w:cs="Times New Roman"/>
      <w:sz w:val="24"/>
      <w:szCs w:val="24"/>
    </w:rPr>
  </w:style>
  <w:style w:type="paragraph" w:styleId="Definition1" w:customStyle="1">
    <w:name w:val="Definition 1"/>
    <w:basedOn w:val="Normal"/>
    <w:rsid w:val="00D26C1B"/>
    <w:pPr>
      <w:numPr>
        <w:numId w:val="4"/>
      </w:numPr>
      <w:spacing w:after="240" w:line="240" w:lineRule="auto"/>
      <w:jc w:val="both"/>
      <w:outlineLvl w:val="0"/>
    </w:pPr>
    <w:rPr>
      <w:rFonts w:ascii="Times New Roman" w:hAnsi="Times New Roman" w:eastAsia="Times New Roman" w:cs="Times New Roman"/>
      <w:sz w:val="24"/>
      <w:szCs w:val="24"/>
    </w:rPr>
  </w:style>
  <w:style w:type="paragraph" w:styleId="Definition2" w:customStyle="1">
    <w:name w:val="Definition 2"/>
    <w:basedOn w:val="Normal"/>
    <w:rsid w:val="00D26C1B"/>
    <w:pPr>
      <w:numPr>
        <w:ilvl w:val="1"/>
        <w:numId w:val="4"/>
      </w:numPr>
      <w:spacing w:after="240" w:line="240" w:lineRule="auto"/>
      <w:jc w:val="both"/>
      <w:outlineLvl w:val="1"/>
    </w:pPr>
    <w:rPr>
      <w:rFonts w:ascii="Times New Roman" w:hAnsi="Times New Roman" w:eastAsia="Times New Roman" w:cs="Times New Roman"/>
      <w:sz w:val="24"/>
      <w:szCs w:val="24"/>
    </w:rPr>
  </w:style>
  <w:style w:type="paragraph" w:styleId="Definition3" w:customStyle="1">
    <w:name w:val="Definition 3"/>
    <w:basedOn w:val="Normal"/>
    <w:rsid w:val="00D26C1B"/>
    <w:pPr>
      <w:numPr>
        <w:ilvl w:val="2"/>
        <w:numId w:val="4"/>
      </w:numPr>
      <w:spacing w:after="240" w:line="240" w:lineRule="auto"/>
      <w:jc w:val="both"/>
      <w:outlineLvl w:val="2"/>
    </w:pPr>
    <w:rPr>
      <w:rFonts w:ascii="Times New Roman" w:hAnsi="Times New Roman" w:eastAsia="Times New Roman" w:cs="Times New Roman"/>
      <w:sz w:val="24"/>
      <w:szCs w:val="24"/>
    </w:rPr>
  </w:style>
  <w:style w:type="paragraph" w:styleId="Definition4" w:customStyle="1">
    <w:name w:val="Definition 4"/>
    <w:basedOn w:val="Normal"/>
    <w:rsid w:val="00D26C1B"/>
    <w:pPr>
      <w:numPr>
        <w:ilvl w:val="3"/>
        <w:numId w:val="4"/>
      </w:numPr>
      <w:spacing w:after="240" w:line="240" w:lineRule="auto"/>
      <w:jc w:val="both"/>
      <w:outlineLvl w:val="3"/>
    </w:pPr>
    <w:rPr>
      <w:rFonts w:ascii="Times New Roman" w:hAnsi="Times New Roman" w:eastAsia="Times New Roman" w:cs="Times New Roman"/>
      <w:sz w:val="24"/>
      <w:szCs w:val="24"/>
    </w:rPr>
  </w:style>
  <w:style w:type="paragraph" w:styleId="Definition5" w:customStyle="1">
    <w:name w:val="Definition 5"/>
    <w:basedOn w:val="Normal"/>
    <w:rsid w:val="00D26C1B"/>
    <w:pPr>
      <w:numPr>
        <w:ilvl w:val="4"/>
        <w:numId w:val="4"/>
      </w:numPr>
      <w:spacing w:after="240" w:line="240" w:lineRule="auto"/>
      <w:outlineLvl w:val="4"/>
    </w:pPr>
    <w:rPr>
      <w:rFonts w:ascii="Times New Roman" w:hAnsi="Times New Roman" w:eastAsia="Times New Roman" w:cs="Times New Roman"/>
      <w:sz w:val="24"/>
      <w:szCs w:val="24"/>
    </w:rPr>
  </w:style>
  <w:style w:type="paragraph" w:styleId="Definition6" w:customStyle="1">
    <w:name w:val="Definition 6"/>
    <w:basedOn w:val="Normal"/>
    <w:rsid w:val="00D26C1B"/>
    <w:pPr>
      <w:numPr>
        <w:ilvl w:val="5"/>
        <w:numId w:val="4"/>
      </w:numPr>
      <w:spacing w:after="240" w:line="240" w:lineRule="auto"/>
      <w:outlineLvl w:val="5"/>
    </w:pPr>
    <w:rPr>
      <w:rFonts w:ascii="Times New Roman" w:hAnsi="Times New Roman" w:eastAsia="Times New Roman" w:cs="Times New Roman"/>
      <w:sz w:val="24"/>
      <w:szCs w:val="24"/>
    </w:rPr>
  </w:style>
  <w:style w:type="paragraph" w:styleId="Definition7" w:customStyle="1">
    <w:name w:val="Definition 7"/>
    <w:basedOn w:val="Normal"/>
    <w:next w:val="BodyText"/>
    <w:rsid w:val="00D26C1B"/>
    <w:pPr>
      <w:numPr>
        <w:ilvl w:val="6"/>
        <w:numId w:val="4"/>
      </w:numPr>
      <w:spacing w:after="240" w:line="240" w:lineRule="auto"/>
      <w:outlineLvl w:val="6"/>
    </w:pPr>
    <w:rPr>
      <w:rFonts w:ascii="Times New Roman" w:hAnsi="Times New Roman" w:eastAsia="Times New Roman" w:cs="Times New Roman"/>
      <w:sz w:val="24"/>
      <w:szCs w:val="24"/>
    </w:rPr>
  </w:style>
  <w:style w:type="paragraph" w:styleId="Definition8" w:customStyle="1">
    <w:name w:val="Definition 8"/>
    <w:basedOn w:val="Normal"/>
    <w:next w:val="BodyText"/>
    <w:rsid w:val="00D26C1B"/>
    <w:pPr>
      <w:numPr>
        <w:ilvl w:val="7"/>
        <w:numId w:val="4"/>
      </w:numPr>
      <w:spacing w:after="240" w:line="240" w:lineRule="auto"/>
      <w:outlineLvl w:val="7"/>
    </w:pPr>
    <w:rPr>
      <w:rFonts w:ascii="Times New Roman" w:hAnsi="Times New Roman" w:eastAsia="Times New Roman" w:cs="Times New Roman"/>
      <w:sz w:val="24"/>
      <w:szCs w:val="24"/>
    </w:rPr>
  </w:style>
  <w:style w:type="paragraph" w:styleId="Definition9" w:customStyle="1">
    <w:name w:val="Definition 9"/>
    <w:basedOn w:val="Normal"/>
    <w:next w:val="BodyText"/>
    <w:rsid w:val="00D26C1B"/>
    <w:pPr>
      <w:numPr>
        <w:ilvl w:val="8"/>
        <w:numId w:val="4"/>
      </w:numPr>
      <w:spacing w:after="240" w:line="240" w:lineRule="auto"/>
      <w:outlineLvl w:val="8"/>
    </w:pPr>
    <w:rPr>
      <w:rFonts w:ascii="Times New Roman" w:hAnsi="Times New Roman" w:eastAsia="Times New Roman" w:cs="Times New Roman"/>
      <w:sz w:val="24"/>
      <w:szCs w:val="24"/>
    </w:rPr>
  </w:style>
  <w:style w:type="paragraph" w:styleId="BTI4" w:customStyle="1">
    <w:name w:val="BTI4"/>
    <w:basedOn w:val="BodyTextFirstIndent2"/>
    <w:rsid w:val="00D26C1B"/>
    <w:pPr>
      <w:spacing w:after="240" w:line="240" w:lineRule="auto"/>
      <w:ind w:left="720" w:firstLine="720"/>
      <w:jc w:val="both"/>
    </w:pPr>
    <w:rPr>
      <w:rFonts w:ascii="Times New Roman" w:hAnsi="Times New Roman" w:eastAsia="Times New Roman" w:cs="Times New Roman"/>
      <w:sz w:val="24"/>
      <w:szCs w:val="24"/>
    </w:rPr>
  </w:style>
  <w:style w:type="paragraph" w:styleId="BTI5" w:customStyle="1">
    <w:name w:val="BTI5"/>
    <w:basedOn w:val="BodyTextIndent3"/>
    <w:rsid w:val="00D26C1B"/>
    <w:pPr>
      <w:spacing w:after="240" w:line="240" w:lineRule="auto"/>
      <w:ind w:left="1440" w:firstLine="720"/>
      <w:jc w:val="both"/>
    </w:pPr>
    <w:rPr>
      <w:rFonts w:ascii="Times New Roman" w:hAnsi="Times New Roman" w:eastAsia="Times New Roman" w:cs="Times New Roman"/>
      <w:sz w:val="24"/>
    </w:rPr>
  </w:style>
  <w:style w:type="paragraph" w:styleId="BodyTextIndent">
    <w:name w:val="Body Text Indent"/>
    <w:basedOn w:val="Normal"/>
    <w:link w:val="BodyTextIndentChar"/>
    <w:uiPriority w:val="99"/>
    <w:semiHidden/>
    <w:unhideWhenUsed/>
    <w:rsid w:val="00D26C1B"/>
    <w:pPr>
      <w:spacing w:after="120"/>
      <w:ind w:left="360"/>
    </w:pPr>
  </w:style>
  <w:style w:type="character" w:styleId="BodyTextIndentChar" w:customStyle="1">
    <w:name w:val="Body Text Indent Char"/>
    <w:basedOn w:val="DefaultParagraphFont"/>
    <w:link w:val="BodyTextIndent"/>
    <w:uiPriority w:val="99"/>
    <w:semiHidden/>
    <w:rsid w:val="00D26C1B"/>
  </w:style>
  <w:style w:type="paragraph" w:styleId="BodyTextFirstIndent2">
    <w:name w:val="Body Text First Indent 2"/>
    <w:basedOn w:val="BodyTextIndent"/>
    <w:link w:val="BodyTextFirstIndent2Char"/>
    <w:uiPriority w:val="99"/>
    <w:semiHidden/>
    <w:unhideWhenUsed/>
    <w:rsid w:val="00D26C1B"/>
    <w:pPr>
      <w:spacing w:after="160"/>
      <w:ind w:firstLine="360"/>
    </w:pPr>
  </w:style>
  <w:style w:type="character" w:styleId="BodyTextFirstIndent2Char" w:customStyle="1">
    <w:name w:val="Body Text First Indent 2 Char"/>
    <w:basedOn w:val="BodyTextIndentChar"/>
    <w:link w:val="BodyTextFirstIndent2"/>
    <w:uiPriority w:val="99"/>
    <w:semiHidden/>
    <w:rsid w:val="00D26C1B"/>
  </w:style>
  <w:style w:type="paragraph" w:styleId="BodyTextIndent3">
    <w:name w:val="Body Text Indent 3"/>
    <w:basedOn w:val="Normal"/>
    <w:link w:val="BodyTextIndent3Char"/>
    <w:uiPriority w:val="99"/>
    <w:semiHidden/>
    <w:unhideWhenUsed/>
    <w:rsid w:val="00D26C1B"/>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D26C1B"/>
    <w:rPr>
      <w:sz w:val="16"/>
      <w:szCs w:val="16"/>
    </w:rPr>
  </w:style>
  <w:style w:type="paragraph" w:styleId="ArticleL2" w:customStyle="1">
    <w:name w:val="Article_L2"/>
    <w:basedOn w:val="ArticleL1"/>
    <w:link w:val="ArticleL2Char"/>
    <w:qFormat/>
    <w:rsid w:val="001C1748"/>
    <w:pPr>
      <w:keepNext w:val="0"/>
      <w:numPr>
        <w:ilvl w:val="1"/>
      </w:numPr>
      <w:jc w:val="both"/>
      <w:outlineLvl w:val="1"/>
    </w:pPr>
    <w:rPr>
      <w:b w:val="0"/>
      <w:caps w:val="0"/>
    </w:rPr>
  </w:style>
  <w:style w:type="paragraph" w:styleId="ArticleL1" w:customStyle="1">
    <w:name w:val="Article_L1"/>
    <w:basedOn w:val="Normal"/>
    <w:next w:val="ArticleL2"/>
    <w:rsid w:val="001C1748"/>
    <w:pPr>
      <w:keepNext/>
      <w:numPr>
        <w:numId w:val="6"/>
      </w:numPr>
      <w:spacing w:after="240" w:line="240" w:lineRule="auto"/>
      <w:jc w:val="center"/>
      <w:outlineLvl w:val="0"/>
    </w:pPr>
    <w:rPr>
      <w:rFonts w:ascii="Times New Roman" w:hAnsi="Times New Roman" w:eastAsia="Times New Roman" w:cs="Times New Roman"/>
      <w:b/>
      <w:caps/>
      <w:sz w:val="24"/>
      <w:szCs w:val="20"/>
    </w:rPr>
  </w:style>
  <w:style w:type="character" w:styleId="ArticleL2Char" w:customStyle="1">
    <w:name w:val="Article_L2 Char"/>
    <w:basedOn w:val="DefaultParagraphFont"/>
    <w:link w:val="ArticleL2"/>
    <w:locked/>
    <w:rsid w:val="001C1748"/>
    <w:rPr>
      <w:rFonts w:ascii="Times New Roman" w:hAnsi="Times New Roman" w:eastAsia="Times New Roman" w:cs="Times New Roman"/>
      <w:sz w:val="24"/>
      <w:szCs w:val="20"/>
    </w:rPr>
  </w:style>
  <w:style w:type="paragraph" w:styleId="ArticleL3" w:customStyle="1">
    <w:name w:val="Article_L3"/>
    <w:basedOn w:val="ArticleL2"/>
    <w:rsid w:val="001C1748"/>
    <w:pPr>
      <w:numPr>
        <w:ilvl w:val="2"/>
      </w:numPr>
      <w:tabs>
        <w:tab w:val="clear" w:pos="2160"/>
        <w:tab w:val="num" w:pos="360"/>
      </w:tabs>
      <w:outlineLvl w:val="2"/>
    </w:pPr>
  </w:style>
  <w:style w:type="paragraph" w:styleId="ArticleL4" w:customStyle="1">
    <w:name w:val="Article_L4"/>
    <w:basedOn w:val="ArticleL3"/>
    <w:rsid w:val="001C1748"/>
    <w:pPr>
      <w:numPr>
        <w:ilvl w:val="3"/>
      </w:numPr>
      <w:tabs>
        <w:tab w:val="clear" w:pos="2160"/>
        <w:tab w:val="num" w:pos="360"/>
      </w:tabs>
      <w:ind w:left="0" w:firstLine="2160"/>
      <w:outlineLvl w:val="3"/>
    </w:pPr>
  </w:style>
  <w:style w:type="paragraph" w:styleId="ArticleL5" w:customStyle="1">
    <w:name w:val="Article_L5"/>
    <w:basedOn w:val="ArticleL4"/>
    <w:rsid w:val="001C1748"/>
    <w:pPr>
      <w:numPr>
        <w:ilvl w:val="4"/>
      </w:numPr>
      <w:tabs>
        <w:tab w:val="clear" w:pos="2880"/>
        <w:tab w:val="num" w:pos="360"/>
      </w:tabs>
      <w:outlineLvl w:val="4"/>
    </w:pPr>
  </w:style>
  <w:style w:type="paragraph" w:styleId="ArticleL6" w:customStyle="1">
    <w:name w:val="Article_L6"/>
    <w:basedOn w:val="ArticleL5"/>
    <w:rsid w:val="001C1748"/>
    <w:pPr>
      <w:numPr>
        <w:ilvl w:val="5"/>
      </w:numPr>
      <w:tabs>
        <w:tab w:val="clear" w:pos="3600"/>
        <w:tab w:val="num" w:pos="360"/>
      </w:tabs>
      <w:ind w:left="0" w:firstLine="0"/>
      <w:outlineLvl w:val="5"/>
    </w:pPr>
  </w:style>
  <w:style w:type="paragraph" w:styleId="ArticleL7" w:customStyle="1">
    <w:name w:val="Article_L7"/>
    <w:basedOn w:val="ArticleL6"/>
    <w:rsid w:val="001C1748"/>
    <w:pPr>
      <w:numPr>
        <w:ilvl w:val="6"/>
      </w:numPr>
      <w:tabs>
        <w:tab w:val="clear" w:pos="4320"/>
        <w:tab w:val="num" w:pos="360"/>
      </w:tabs>
      <w:outlineLvl w:val="6"/>
    </w:pPr>
  </w:style>
  <w:style w:type="paragraph" w:styleId="ArticleL8" w:customStyle="1">
    <w:name w:val="Article_L8"/>
    <w:basedOn w:val="ArticleL7"/>
    <w:rsid w:val="001C1748"/>
    <w:pPr>
      <w:numPr>
        <w:ilvl w:val="7"/>
      </w:numPr>
      <w:tabs>
        <w:tab w:val="clear" w:pos="5760"/>
        <w:tab w:val="num" w:pos="360"/>
      </w:tabs>
      <w:outlineLvl w:val="7"/>
    </w:pPr>
  </w:style>
  <w:style w:type="paragraph" w:styleId="ArticleL9" w:customStyle="1">
    <w:name w:val="Article_L9"/>
    <w:basedOn w:val="ArticleL8"/>
    <w:rsid w:val="001C1748"/>
    <w:pPr>
      <w:numPr>
        <w:ilvl w:val="8"/>
      </w:numPr>
      <w:tabs>
        <w:tab w:val="clear" w:pos="6480"/>
        <w:tab w:val="num" w:pos="360"/>
      </w:tabs>
      <w:outlineLvl w:val="8"/>
    </w:pPr>
  </w:style>
  <w:style w:type="paragraph" w:styleId="ArticlePara2" w:customStyle="1">
    <w:name w:val="Article Para 2"/>
    <w:basedOn w:val="ArticleL2"/>
    <w:next w:val="ArticleL2"/>
    <w:rsid w:val="001C1748"/>
    <w:pPr>
      <w:numPr>
        <w:ilvl w:val="0"/>
        <w:numId w:val="0"/>
      </w:numPr>
      <w:outlineLvl w:val="9"/>
    </w:pPr>
  </w:style>
  <w:style w:type="character" w:styleId="MBPCUnderline" w:customStyle="1">
    <w:name w:val="MBPC_Underline"/>
    <w:aliases w:val="c3,cu"/>
    <w:rsid w:val="001C1748"/>
    <w:rPr>
      <w:u w:val="single"/>
    </w:rPr>
  </w:style>
  <w:style w:type="paragraph" w:styleId="BTFIBodyTextFirstIndent" w:customStyle="1">
    <w:name w:val="BTFI Body Text First Indent"/>
    <w:basedOn w:val="Normal"/>
    <w:link w:val="BTFIBodyTextFirstIndentChar"/>
    <w:uiPriority w:val="1"/>
    <w:qFormat/>
    <w:rsid w:val="001C1748"/>
    <w:pPr>
      <w:spacing w:after="240" w:line="240" w:lineRule="auto"/>
      <w:ind w:firstLine="720"/>
      <w:jc w:val="both"/>
    </w:pPr>
    <w:rPr>
      <w:rFonts w:ascii="Times New Roman" w:hAnsi="Times New Roman" w:eastAsiaTheme="minorEastAsia"/>
      <w:sz w:val="24"/>
      <w:szCs w:val="24"/>
    </w:rPr>
  </w:style>
  <w:style w:type="paragraph" w:styleId="S2Heading1" w:customStyle="1">
    <w:name w:val="S2.Heading 1"/>
    <w:basedOn w:val="Normal"/>
    <w:rsid w:val="001C1748"/>
    <w:pPr>
      <w:keepNext/>
      <w:numPr>
        <w:numId w:val="7"/>
      </w:numPr>
      <w:spacing w:after="240" w:line="240" w:lineRule="auto"/>
      <w:jc w:val="both"/>
      <w:outlineLvl w:val="0"/>
    </w:pPr>
    <w:rPr>
      <w:rFonts w:ascii="Times New Roman" w:hAnsi="Times New Roman" w:cs="Times New Roman" w:eastAsiaTheme="minorEastAsia"/>
      <w:sz w:val="24"/>
      <w:szCs w:val="24"/>
      <w:u w:val="single"/>
    </w:rPr>
  </w:style>
  <w:style w:type="character" w:styleId="BTFIBodyTextFirstIndentChar" w:customStyle="1">
    <w:name w:val="BTFI Body Text First Indent Char"/>
    <w:basedOn w:val="DefaultParagraphFont"/>
    <w:link w:val="BTFIBodyTextFirstIndent"/>
    <w:uiPriority w:val="1"/>
    <w:rsid w:val="001C1748"/>
    <w:rPr>
      <w:rFonts w:ascii="Times New Roman" w:hAnsi="Times New Roman" w:eastAsiaTheme="minorEastAsia"/>
      <w:sz w:val="24"/>
      <w:szCs w:val="24"/>
    </w:rPr>
  </w:style>
  <w:style w:type="paragraph" w:styleId="S2Heading2" w:customStyle="1">
    <w:name w:val="S2.Heading 2"/>
    <w:basedOn w:val="Normal"/>
    <w:link w:val="S2Heading2Char"/>
    <w:rsid w:val="001C1748"/>
    <w:pPr>
      <w:keepNext/>
      <w:numPr>
        <w:ilvl w:val="1"/>
        <w:numId w:val="7"/>
      </w:numPr>
      <w:spacing w:after="240" w:line="240" w:lineRule="auto"/>
      <w:jc w:val="both"/>
      <w:outlineLvl w:val="1"/>
    </w:pPr>
    <w:rPr>
      <w:rFonts w:ascii="Times New Roman" w:hAnsi="Times New Roman" w:cs="Times New Roman" w:eastAsiaTheme="minorEastAsia"/>
      <w:sz w:val="24"/>
      <w:szCs w:val="24"/>
      <w:u w:val="single"/>
    </w:rPr>
  </w:style>
  <w:style w:type="character" w:styleId="S2Heading2Char" w:customStyle="1">
    <w:name w:val="S2.Heading 2 Char"/>
    <w:basedOn w:val="BTFIBodyTextFirstIndentChar"/>
    <w:link w:val="S2Heading2"/>
    <w:rsid w:val="001C1748"/>
    <w:rPr>
      <w:rFonts w:ascii="Times New Roman" w:hAnsi="Times New Roman" w:cs="Times New Roman" w:eastAsiaTheme="minorEastAsia"/>
      <w:sz w:val="24"/>
      <w:szCs w:val="24"/>
      <w:u w:val="single"/>
    </w:rPr>
  </w:style>
  <w:style w:type="paragraph" w:styleId="S2Heading3" w:customStyle="1">
    <w:name w:val="S2.Heading 3"/>
    <w:basedOn w:val="Normal"/>
    <w:rsid w:val="001C1748"/>
    <w:pPr>
      <w:numPr>
        <w:ilvl w:val="2"/>
        <w:numId w:val="7"/>
      </w:numPr>
      <w:tabs>
        <w:tab w:val="left" w:pos="2160"/>
      </w:tabs>
      <w:spacing w:after="240" w:line="240" w:lineRule="auto"/>
      <w:jc w:val="both"/>
      <w:outlineLvl w:val="2"/>
    </w:pPr>
    <w:rPr>
      <w:rFonts w:ascii="Times New Roman" w:hAnsi="Times New Roman" w:cs="Times New Roman" w:eastAsiaTheme="minorEastAsia"/>
      <w:sz w:val="24"/>
      <w:szCs w:val="24"/>
    </w:rPr>
  </w:style>
  <w:style w:type="paragraph" w:styleId="S2Heading4" w:customStyle="1">
    <w:name w:val="S2.Heading 4"/>
    <w:basedOn w:val="Normal"/>
    <w:rsid w:val="001C1748"/>
    <w:pPr>
      <w:numPr>
        <w:ilvl w:val="3"/>
        <w:numId w:val="7"/>
      </w:numPr>
      <w:tabs>
        <w:tab w:val="left" w:pos="2880"/>
      </w:tabs>
      <w:spacing w:after="240" w:line="240" w:lineRule="auto"/>
      <w:jc w:val="both"/>
      <w:outlineLvl w:val="3"/>
    </w:pPr>
    <w:rPr>
      <w:rFonts w:ascii="Times New Roman" w:hAnsi="Times New Roman" w:cs="Times New Roman" w:eastAsiaTheme="minorEastAsia"/>
      <w:sz w:val="24"/>
      <w:szCs w:val="24"/>
    </w:rPr>
  </w:style>
  <w:style w:type="paragraph" w:styleId="S2Heading5" w:customStyle="1">
    <w:name w:val="S2.Heading 5"/>
    <w:basedOn w:val="Normal"/>
    <w:rsid w:val="001C1748"/>
    <w:pPr>
      <w:numPr>
        <w:ilvl w:val="4"/>
        <w:numId w:val="7"/>
      </w:numPr>
      <w:tabs>
        <w:tab w:val="left" w:pos="3600"/>
      </w:tabs>
      <w:spacing w:after="240" w:line="240" w:lineRule="auto"/>
      <w:jc w:val="both"/>
      <w:outlineLvl w:val="4"/>
    </w:pPr>
    <w:rPr>
      <w:rFonts w:ascii="Times New Roman" w:hAnsi="Times New Roman" w:cs="Times New Roman" w:eastAsiaTheme="minorEastAsia"/>
      <w:sz w:val="24"/>
      <w:szCs w:val="24"/>
    </w:rPr>
  </w:style>
  <w:style w:type="paragraph" w:styleId="S2Heading6" w:customStyle="1">
    <w:name w:val="S2.Heading 6"/>
    <w:basedOn w:val="Normal"/>
    <w:rsid w:val="001C1748"/>
    <w:pPr>
      <w:numPr>
        <w:ilvl w:val="5"/>
        <w:numId w:val="7"/>
      </w:numPr>
      <w:spacing w:after="240" w:line="240" w:lineRule="auto"/>
      <w:jc w:val="both"/>
      <w:outlineLvl w:val="5"/>
    </w:pPr>
    <w:rPr>
      <w:rFonts w:ascii="Times New Roman" w:hAnsi="Times New Roman" w:cs="Times New Roman" w:eastAsiaTheme="minorEastAsia"/>
      <w:sz w:val="24"/>
      <w:szCs w:val="24"/>
    </w:rPr>
  </w:style>
  <w:style w:type="paragraph" w:styleId="S2Heading7" w:customStyle="1">
    <w:name w:val="S2.Heading 7"/>
    <w:basedOn w:val="Normal"/>
    <w:rsid w:val="001C1748"/>
    <w:pPr>
      <w:numPr>
        <w:ilvl w:val="6"/>
        <w:numId w:val="7"/>
      </w:numPr>
      <w:tabs>
        <w:tab w:val="left" w:pos="5040"/>
      </w:tabs>
      <w:spacing w:after="240" w:line="240" w:lineRule="auto"/>
      <w:jc w:val="both"/>
      <w:outlineLvl w:val="6"/>
    </w:pPr>
    <w:rPr>
      <w:rFonts w:ascii="Times New Roman" w:hAnsi="Times New Roman" w:cs="Times New Roman" w:eastAsiaTheme="minorEastAsia"/>
      <w:sz w:val="24"/>
      <w:szCs w:val="24"/>
    </w:rPr>
  </w:style>
  <w:style w:type="paragraph" w:styleId="S2Heading8" w:customStyle="1">
    <w:name w:val="S2.Heading 8"/>
    <w:basedOn w:val="Normal"/>
    <w:rsid w:val="001C1748"/>
    <w:pPr>
      <w:numPr>
        <w:ilvl w:val="7"/>
        <w:numId w:val="7"/>
      </w:numPr>
      <w:tabs>
        <w:tab w:val="left" w:pos="5760"/>
      </w:tabs>
      <w:spacing w:after="240" w:line="240" w:lineRule="auto"/>
      <w:jc w:val="both"/>
      <w:outlineLvl w:val="7"/>
    </w:pPr>
    <w:rPr>
      <w:rFonts w:ascii="Times New Roman" w:hAnsi="Times New Roman" w:cs="Times New Roman" w:eastAsiaTheme="minorEastAsia"/>
      <w:sz w:val="24"/>
      <w:szCs w:val="24"/>
    </w:rPr>
  </w:style>
  <w:style w:type="paragraph" w:styleId="S2Heading9" w:customStyle="1">
    <w:name w:val="S2.Heading 9"/>
    <w:basedOn w:val="Normal"/>
    <w:rsid w:val="001C1748"/>
    <w:pPr>
      <w:numPr>
        <w:ilvl w:val="8"/>
        <w:numId w:val="7"/>
      </w:numPr>
      <w:tabs>
        <w:tab w:val="left" w:pos="6480"/>
      </w:tabs>
      <w:spacing w:after="240" w:line="240" w:lineRule="auto"/>
      <w:jc w:val="both"/>
      <w:outlineLvl w:val="8"/>
    </w:pPr>
    <w:rPr>
      <w:rFonts w:ascii="Times New Roman" w:hAnsi="Times New Roman" w:cs="Times New Roman" w:eastAsiaTheme="minorEastAsia"/>
      <w:sz w:val="24"/>
      <w:szCs w:val="24"/>
    </w:rPr>
  </w:style>
  <w:style w:type="paragraph" w:styleId="S2HeadingBody2" w:customStyle="1">
    <w:name w:val="S2. HeadingBody2"/>
    <w:basedOn w:val="Normal"/>
    <w:next w:val="S2Heading2"/>
    <w:link w:val="S2HeadingBody2Char"/>
    <w:uiPriority w:val="49"/>
    <w:semiHidden/>
    <w:rsid w:val="001C1748"/>
    <w:pPr>
      <w:spacing w:after="240" w:line="240" w:lineRule="auto"/>
      <w:ind w:firstLine="720"/>
      <w:jc w:val="both"/>
    </w:pPr>
    <w:rPr>
      <w:rFonts w:ascii="Times New Roman" w:hAnsi="Times New Roman" w:cs="Times New Roman" w:eastAsiaTheme="minorEastAsia"/>
      <w:sz w:val="24"/>
      <w:szCs w:val="24"/>
    </w:rPr>
  </w:style>
  <w:style w:type="character" w:styleId="S2HeadingBody2Char" w:customStyle="1">
    <w:name w:val="S2. HeadingBody2 Char"/>
    <w:basedOn w:val="DefaultParagraphFont"/>
    <w:link w:val="S2HeadingBody2"/>
    <w:uiPriority w:val="49"/>
    <w:semiHidden/>
    <w:rsid w:val="001C1748"/>
    <w:rPr>
      <w:rFonts w:ascii="Times New Roman" w:hAnsi="Times New Roman" w:cs="Times New Roman" w:eastAsiaTheme="minorEastAsia"/>
      <w:sz w:val="24"/>
      <w:szCs w:val="24"/>
    </w:rPr>
  </w:style>
  <w:style w:type="paragraph" w:styleId="S3Heading1" w:customStyle="1">
    <w:name w:val="S3.Heading 1"/>
    <w:basedOn w:val="Normal"/>
    <w:link w:val="S3Heading1Char"/>
    <w:rsid w:val="007803C8"/>
    <w:pPr>
      <w:numPr>
        <w:numId w:val="8"/>
      </w:numPr>
      <w:spacing w:after="240" w:line="240" w:lineRule="auto"/>
      <w:jc w:val="both"/>
      <w:outlineLvl w:val="0"/>
    </w:pPr>
    <w:rPr>
      <w:rFonts w:ascii="Times New Roman" w:hAnsi="Times New Roman" w:cs="Times New Roman" w:eastAsiaTheme="minorEastAsia"/>
      <w:sz w:val="24"/>
      <w:szCs w:val="24"/>
    </w:rPr>
  </w:style>
  <w:style w:type="character" w:styleId="S3Heading1Char" w:customStyle="1">
    <w:name w:val="S3.Heading 1 Char"/>
    <w:basedOn w:val="DefaultParagraphFont"/>
    <w:link w:val="S3Heading1"/>
    <w:rsid w:val="007803C8"/>
    <w:rPr>
      <w:rFonts w:ascii="Times New Roman" w:hAnsi="Times New Roman" w:cs="Times New Roman" w:eastAsiaTheme="minorEastAsia"/>
      <w:sz w:val="24"/>
      <w:szCs w:val="24"/>
    </w:rPr>
  </w:style>
  <w:style w:type="paragraph" w:styleId="S3Heading2" w:customStyle="1">
    <w:name w:val="S3.Heading 2"/>
    <w:basedOn w:val="Normal"/>
    <w:rsid w:val="007803C8"/>
    <w:pPr>
      <w:numPr>
        <w:ilvl w:val="1"/>
        <w:numId w:val="8"/>
      </w:numPr>
      <w:spacing w:after="240" w:line="240" w:lineRule="auto"/>
      <w:ind w:left="4050" w:hanging="4050"/>
      <w:jc w:val="both"/>
      <w:outlineLvl w:val="1"/>
    </w:pPr>
    <w:rPr>
      <w:rFonts w:ascii="Times New Roman" w:hAnsi="Times New Roman" w:cs="Times New Roman" w:eastAsiaTheme="minorEastAsia"/>
      <w:sz w:val="24"/>
      <w:szCs w:val="24"/>
    </w:rPr>
  </w:style>
  <w:style w:type="paragraph" w:styleId="S3Heading3" w:customStyle="1">
    <w:name w:val="S3.Heading 3"/>
    <w:basedOn w:val="Normal"/>
    <w:rsid w:val="007803C8"/>
    <w:pPr>
      <w:numPr>
        <w:ilvl w:val="2"/>
        <w:numId w:val="8"/>
      </w:numPr>
      <w:tabs>
        <w:tab w:val="num" w:pos="2160"/>
      </w:tabs>
      <w:spacing w:after="240" w:line="240" w:lineRule="auto"/>
      <w:ind w:left="720"/>
      <w:jc w:val="both"/>
      <w:outlineLvl w:val="2"/>
    </w:pPr>
    <w:rPr>
      <w:rFonts w:ascii="Times New Roman" w:hAnsi="Times New Roman" w:cs="Times New Roman" w:eastAsiaTheme="minorEastAsia"/>
      <w:sz w:val="24"/>
      <w:szCs w:val="24"/>
    </w:rPr>
  </w:style>
  <w:style w:type="paragraph" w:styleId="S3Heading4" w:customStyle="1">
    <w:name w:val="S3.Heading 4"/>
    <w:basedOn w:val="Normal"/>
    <w:rsid w:val="007803C8"/>
    <w:pPr>
      <w:numPr>
        <w:ilvl w:val="3"/>
        <w:numId w:val="8"/>
      </w:numPr>
      <w:tabs>
        <w:tab w:val="num" w:pos="2880"/>
      </w:tabs>
      <w:spacing w:after="240" w:line="240" w:lineRule="auto"/>
      <w:ind w:left="1440" w:firstLine="720"/>
      <w:jc w:val="both"/>
      <w:outlineLvl w:val="3"/>
    </w:pPr>
    <w:rPr>
      <w:rFonts w:ascii="Times New Roman" w:hAnsi="Times New Roman" w:cs="Times New Roman" w:eastAsiaTheme="minorEastAsia"/>
      <w:sz w:val="24"/>
      <w:szCs w:val="24"/>
    </w:rPr>
  </w:style>
  <w:style w:type="paragraph" w:styleId="S3Heading5" w:customStyle="1">
    <w:name w:val="S3.Heading 5"/>
    <w:basedOn w:val="Normal"/>
    <w:rsid w:val="007803C8"/>
    <w:pPr>
      <w:numPr>
        <w:ilvl w:val="4"/>
        <w:numId w:val="8"/>
      </w:numPr>
      <w:tabs>
        <w:tab w:val="num" w:pos="3600"/>
      </w:tabs>
      <w:spacing w:after="240" w:line="240" w:lineRule="auto"/>
      <w:ind w:left="2160" w:firstLine="720"/>
      <w:jc w:val="both"/>
      <w:outlineLvl w:val="4"/>
    </w:pPr>
    <w:rPr>
      <w:rFonts w:ascii="Times New Roman" w:hAnsi="Times New Roman" w:cs="Times New Roman" w:eastAsiaTheme="minorEastAsia"/>
      <w:sz w:val="24"/>
      <w:szCs w:val="24"/>
    </w:rPr>
  </w:style>
  <w:style w:type="paragraph" w:styleId="S3Heading6" w:customStyle="1">
    <w:name w:val="S3.Heading 6"/>
    <w:basedOn w:val="Normal"/>
    <w:rsid w:val="007803C8"/>
    <w:pPr>
      <w:numPr>
        <w:ilvl w:val="5"/>
        <w:numId w:val="8"/>
      </w:numPr>
      <w:spacing w:after="240" w:line="240" w:lineRule="auto"/>
      <w:ind w:left="0" w:firstLine="0"/>
      <w:jc w:val="both"/>
      <w:outlineLvl w:val="5"/>
    </w:pPr>
    <w:rPr>
      <w:rFonts w:ascii="Times New Roman" w:hAnsi="Times New Roman" w:cs="Times New Roman" w:eastAsiaTheme="minorEastAsia"/>
      <w:sz w:val="24"/>
      <w:szCs w:val="24"/>
    </w:rPr>
  </w:style>
  <w:style w:type="paragraph" w:styleId="S3Heading7" w:customStyle="1">
    <w:name w:val="S3.Heading 7"/>
    <w:basedOn w:val="Normal"/>
    <w:rsid w:val="007803C8"/>
    <w:pPr>
      <w:numPr>
        <w:ilvl w:val="6"/>
        <w:numId w:val="8"/>
      </w:numPr>
      <w:tabs>
        <w:tab w:val="num" w:pos="1440"/>
      </w:tabs>
      <w:spacing w:after="240" w:line="240" w:lineRule="auto"/>
      <w:ind w:left="0" w:firstLine="720"/>
      <w:jc w:val="both"/>
      <w:outlineLvl w:val="6"/>
    </w:pPr>
    <w:rPr>
      <w:rFonts w:ascii="Times New Roman" w:hAnsi="Times New Roman" w:cs="Times New Roman" w:eastAsiaTheme="minorEastAsia"/>
      <w:sz w:val="24"/>
      <w:szCs w:val="24"/>
    </w:rPr>
  </w:style>
  <w:style w:type="paragraph" w:styleId="S3Heading8" w:customStyle="1">
    <w:name w:val="S3.Heading 8"/>
    <w:basedOn w:val="Normal"/>
    <w:rsid w:val="007803C8"/>
    <w:pPr>
      <w:numPr>
        <w:ilvl w:val="7"/>
        <w:numId w:val="8"/>
      </w:numPr>
      <w:tabs>
        <w:tab w:val="num" w:pos="2160"/>
      </w:tabs>
      <w:spacing w:after="240" w:line="240" w:lineRule="auto"/>
      <w:ind w:left="720" w:firstLine="720"/>
      <w:jc w:val="both"/>
      <w:outlineLvl w:val="7"/>
    </w:pPr>
    <w:rPr>
      <w:rFonts w:ascii="Times New Roman" w:hAnsi="Times New Roman" w:cs="Times New Roman" w:eastAsiaTheme="minorEastAsia"/>
      <w:sz w:val="24"/>
      <w:szCs w:val="24"/>
    </w:rPr>
  </w:style>
  <w:style w:type="paragraph" w:styleId="S3Heading9" w:customStyle="1">
    <w:name w:val="S3.Heading 9"/>
    <w:basedOn w:val="Normal"/>
    <w:rsid w:val="007803C8"/>
    <w:pPr>
      <w:numPr>
        <w:ilvl w:val="8"/>
        <w:numId w:val="8"/>
      </w:numPr>
      <w:tabs>
        <w:tab w:val="num" w:pos="2880"/>
      </w:tabs>
      <w:spacing w:after="240" w:line="240" w:lineRule="auto"/>
      <w:ind w:left="1440" w:firstLine="720"/>
      <w:jc w:val="both"/>
      <w:outlineLvl w:val="8"/>
    </w:pPr>
    <w:rPr>
      <w:rFonts w:ascii="Times New Roman" w:hAnsi="Times New Roman" w:cs="Times New Roman" w:eastAsiaTheme="minorEastAsia"/>
      <w:sz w:val="24"/>
      <w:szCs w:val="24"/>
    </w:rPr>
  </w:style>
  <w:style w:type="paragraph" w:styleId="Header">
    <w:name w:val="header"/>
    <w:basedOn w:val="Normal"/>
    <w:link w:val="HeaderChar"/>
    <w:uiPriority w:val="99"/>
    <w:unhideWhenUsed/>
    <w:rsid w:val="00AD04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AD040A"/>
  </w:style>
  <w:style w:type="paragraph" w:styleId="Footer">
    <w:name w:val="footer"/>
    <w:basedOn w:val="Normal"/>
    <w:link w:val="FooterChar"/>
    <w:uiPriority w:val="99"/>
    <w:unhideWhenUsed/>
    <w:rsid w:val="00AD04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AD04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13009">
      <w:bodyDiv w:val="1"/>
      <w:marLeft w:val="0"/>
      <w:marRight w:val="0"/>
      <w:marTop w:val="0"/>
      <w:marBottom w:val="0"/>
      <w:divBdr>
        <w:top w:val="none" w:sz="0" w:space="0" w:color="auto"/>
        <w:left w:val="none" w:sz="0" w:space="0" w:color="auto"/>
        <w:bottom w:val="none" w:sz="0" w:space="0" w:color="auto"/>
        <w:right w:val="none" w:sz="0" w:space="0" w:color="auto"/>
      </w:divBdr>
    </w:div>
    <w:div w:id="231934893">
      <w:bodyDiv w:val="1"/>
      <w:marLeft w:val="0"/>
      <w:marRight w:val="0"/>
      <w:marTop w:val="0"/>
      <w:marBottom w:val="0"/>
      <w:divBdr>
        <w:top w:val="none" w:sz="0" w:space="0" w:color="auto"/>
        <w:left w:val="none" w:sz="0" w:space="0" w:color="auto"/>
        <w:bottom w:val="none" w:sz="0" w:space="0" w:color="auto"/>
        <w:right w:val="none" w:sz="0" w:space="0" w:color="auto"/>
      </w:divBdr>
    </w:div>
    <w:div w:id="356661717">
      <w:bodyDiv w:val="1"/>
      <w:marLeft w:val="0"/>
      <w:marRight w:val="0"/>
      <w:marTop w:val="0"/>
      <w:marBottom w:val="0"/>
      <w:divBdr>
        <w:top w:val="none" w:sz="0" w:space="0" w:color="auto"/>
        <w:left w:val="none" w:sz="0" w:space="0" w:color="auto"/>
        <w:bottom w:val="none" w:sz="0" w:space="0" w:color="auto"/>
        <w:right w:val="none" w:sz="0" w:space="0" w:color="auto"/>
      </w:divBdr>
    </w:div>
    <w:div w:id="466900426">
      <w:bodyDiv w:val="1"/>
      <w:marLeft w:val="0"/>
      <w:marRight w:val="0"/>
      <w:marTop w:val="0"/>
      <w:marBottom w:val="0"/>
      <w:divBdr>
        <w:top w:val="none" w:sz="0" w:space="0" w:color="auto"/>
        <w:left w:val="none" w:sz="0" w:space="0" w:color="auto"/>
        <w:bottom w:val="none" w:sz="0" w:space="0" w:color="auto"/>
        <w:right w:val="none" w:sz="0" w:space="0" w:color="auto"/>
      </w:divBdr>
    </w:div>
    <w:div w:id="528446011">
      <w:bodyDiv w:val="1"/>
      <w:marLeft w:val="0"/>
      <w:marRight w:val="0"/>
      <w:marTop w:val="0"/>
      <w:marBottom w:val="0"/>
      <w:divBdr>
        <w:top w:val="none" w:sz="0" w:space="0" w:color="auto"/>
        <w:left w:val="none" w:sz="0" w:space="0" w:color="auto"/>
        <w:bottom w:val="none" w:sz="0" w:space="0" w:color="auto"/>
        <w:right w:val="none" w:sz="0" w:space="0" w:color="auto"/>
      </w:divBdr>
    </w:div>
    <w:div w:id="786313796">
      <w:bodyDiv w:val="1"/>
      <w:marLeft w:val="0"/>
      <w:marRight w:val="0"/>
      <w:marTop w:val="0"/>
      <w:marBottom w:val="0"/>
      <w:divBdr>
        <w:top w:val="none" w:sz="0" w:space="0" w:color="auto"/>
        <w:left w:val="none" w:sz="0" w:space="0" w:color="auto"/>
        <w:bottom w:val="none" w:sz="0" w:space="0" w:color="auto"/>
        <w:right w:val="none" w:sz="0" w:space="0" w:color="auto"/>
      </w:divBdr>
    </w:div>
    <w:div w:id="806817818">
      <w:bodyDiv w:val="1"/>
      <w:marLeft w:val="0"/>
      <w:marRight w:val="0"/>
      <w:marTop w:val="0"/>
      <w:marBottom w:val="0"/>
      <w:divBdr>
        <w:top w:val="none" w:sz="0" w:space="0" w:color="auto"/>
        <w:left w:val="none" w:sz="0" w:space="0" w:color="auto"/>
        <w:bottom w:val="none" w:sz="0" w:space="0" w:color="auto"/>
        <w:right w:val="none" w:sz="0" w:space="0" w:color="auto"/>
      </w:divBdr>
    </w:div>
    <w:div w:id="881553633">
      <w:bodyDiv w:val="1"/>
      <w:marLeft w:val="0"/>
      <w:marRight w:val="0"/>
      <w:marTop w:val="0"/>
      <w:marBottom w:val="0"/>
      <w:divBdr>
        <w:top w:val="none" w:sz="0" w:space="0" w:color="auto"/>
        <w:left w:val="none" w:sz="0" w:space="0" w:color="auto"/>
        <w:bottom w:val="none" w:sz="0" w:space="0" w:color="auto"/>
        <w:right w:val="none" w:sz="0" w:space="0" w:color="auto"/>
      </w:divBdr>
    </w:div>
    <w:div w:id="895969148">
      <w:bodyDiv w:val="1"/>
      <w:marLeft w:val="0"/>
      <w:marRight w:val="0"/>
      <w:marTop w:val="0"/>
      <w:marBottom w:val="0"/>
      <w:divBdr>
        <w:top w:val="none" w:sz="0" w:space="0" w:color="auto"/>
        <w:left w:val="none" w:sz="0" w:space="0" w:color="auto"/>
        <w:bottom w:val="none" w:sz="0" w:space="0" w:color="auto"/>
        <w:right w:val="none" w:sz="0" w:space="0" w:color="auto"/>
      </w:divBdr>
    </w:div>
    <w:div w:id="1022901358">
      <w:bodyDiv w:val="1"/>
      <w:marLeft w:val="0"/>
      <w:marRight w:val="0"/>
      <w:marTop w:val="0"/>
      <w:marBottom w:val="0"/>
      <w:divBdr>
        <w:top w:val="none" w:sz="0" w:space="0" w:color="auto"/>
        <w:left w:val="none" w:sz="0" w:space="0" w:color="auto"/>
        <w:bottom w:val="none" w:sz="0" w:space="0" w:color="auto"/>
        <w:right w:val="none" w:sz="0" w:space="0" w:color="auto"/>
      </w:divBdr>
    </w:div>
    <w:div w:id="1406337660">
      <w:bodyDiv w:val="1"/>
      <w:marLeft w:val="0"/>
      <w:marRight w:val="0"/>
      <w:marTop w:val="0"/>
      <w:marBottom w:val="0"/>
      <w:divBdr>
        <w:top w:val="none" w:sz="0" w:space="0" w:color="auto"/>
        <w:left w:val="none" w:sz="0" w:space="0" w:color="auto"/>
        <w:bottom w:val="none" w:sz="0" w:space="0" w:color="auto"/>
        <w:right w:val="none" w:sz="0" w:space="0" w:color="auto"/>
      </w:divBdr>
    </w:div>
    <w:div w:id="1433817071">
      <w:bodyDiv w:val="1"/>
      <w:marLeft w:val="0"/>
      <w:marRight w:val="0"/>
      <w:marTop w:val="0"/>
      <w:marBottom w:val="0"/>
      <w:divBdr>
        <w:top w:val="none" w:sz="0" w:space="0" w:color="auto"/>
        <w:left w:val="none" w:sz="0" w:space="0" w:color="auto"/>
        <w:bottom w:val="none" w:sz="0" w:space="0" w:color="auto"/>
        <w:right w:val="none" w:sz="0" w:space="0" w:color="auto"/>
      </w:divBdr>
    </w:div>
    <w:div w:id="1449202420">
      <w:bodyDiv w:val="1"/>
      <w:marLeft w:val="0"/>
      <w:marRight w:val="0"/>
      <w:marTop w:val="0"/>
      <w:marBottom w:val="0"/>
      <w:divBdr>
        <w:top w:val="none" w:sz="0" w:space="0" w:color="auto"/>
        <w:left w:val="none" w:sz="0" w:space="0" w:color="auto"/>
        <w:bottom w:val="none" w:sz="0" w:space="0" w:color="auto"/>
        <w:right w:val="none" w:sz="0" w:space="0" w:color="auto"/>
      </w:divBdr>
    </w:div>
    <w:div w:id="1476723403">
      <w:bodyDiv w:val="1"/>
      <w:marLeft w:val="0"/>
      <w:marRight w:val="0"/>
      <w:marTop w:val="0"/>
      <w:marBottom w:val="0"/>
      <w:divBdr>
        <w:top w:val="none" w:sz="0" w:space="0" w:color="auto"/>
        <w:left w:val="none" w:sz="0" w:space="0" w:color="auto"/>
        <w:bottom w:val="none" w:sz="0" w:space="0" w:color="auto"/>
        <w:right w:val="none" w:sz="0" w:space="0" w:color="auto"/>
      </w:divBdr>
    </w:div>
    <w:div w:id="1525561132">
      <w:bodyDiv w:val="1"/>
      <w:marLeft w:val="0"/>
      <w:marRight w:val="0"/>
      <w:marTop w:val="0"/>
      <w:marBottom w:val="0"/>
      <w:divBdr>
        <w:top w:val="none" w:sz="0" w:space="0" w:color="auto"/>
        <w:left w:val="none" w:sz="0" w:space="0" w:color="auto"/>
        <w:bottom w:val="none" w:sz="0" w:space="0" w:color="auto"/>
        <w:right w:val="none" w:sz="0" w:space="0" w:color="auto"/>
      </w:divBdr>
    </w:div>
    <w:div w:id="1875457383">
      <w:bodyDiv w:val="1"/>
      <w:marLeft w:val="0"/>
      <w:marRight w:val="0"/>
      <w:marTop w:val="0"/>
      <w:marBottom w:val="0"/>
      <w:divBdr>
        <w:top w:val="none" w:sz="0" w:space="0" w:color="auto"/>
        <w:left w:val="none" w:sz="0" w:space="0" w:color="auto"/>
        <w:bottom w:val="none" w:sz="0" w:space="0" w:color="auto"/>
        <w:right w:val="none" w:sz="0" w:space="0" w:color="auto"/>
      </w:divBdr>
    </w:div>
    <w:div w:id="1999072497">
      <w:bodyDiv w:val="1"/>
      <w:marLeft w:val="0"/>
      <w:marRight w:val="0"/>
      <w:marTop w:val="0"/>
      <w:marBottom w:val="0"/>
      <w:divBdr>
        <w:top w:val="none" w:sz="0" w:space="0" w:color="auto"/>
        <w:left w:val="none" w:sz="0" w:space="0" w:color="auto"/>
        <w:bottom w:val="none" w:sz="0" w:space="0" w:color="auto"/>
        <w:right w:val="none" w:sz="0" w:space="0" w:color="auto"/>
      </w:divBdr>
    </w:div>
    <w:div w:id="2126607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lastPrinted>1900-01-01T06:00:00.0000000Z</lastPrinted>
  <dcterms:created xsi:type="dcterms:W3CDTF">1900-01-01T06:00:00.0000000Z</dcterms:created>
  <dcterms:modified xsi:type="dcterms:W3CDTF">2025-06-18T21:31:00.0000000Z</dcterms:modified>
</coreProperties>
</file>