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127057" w:rsidR="00CE3106" w:rsidP="00CE3106" w:rsidRDefault="00127057" w14:paraId="5A770700" w14:textId="77777777">
      <w:pPr>
        <w:pStyle w:val="ListParagraph"/>
        <w:ind w:left="1080"/>
        <w:jc w:val="both"/>
        <w:rPr>
          <w:rFonts w:ascii="Arial" w:hAnsi="Arial" w:cs="Arial"/>
          <w:sz w:val="24"/>
          <w:szCs w:val="24"/>
          <w:u w:val="single"/>
        </w:rPr>
      </w:pPr>
      <w:r w:rsidRPr="00127057">
        <w:rPr>
          <w:rFonts w:ascii="Arial" w:hAnsi="Arial" w:cs="Arial"/>
          <w:sz w:val="24"/>
          <w:szCs w:val="24"/>
        </w:rPr>
        <w:t xml:space="preserve">                           </w:t>
      </w:r>
      <w:r w:rsidRPr="00127057" w:rsidR="00CE3106">
        <w:rPr>
          <w:rFonts w:ascii="Arial" w:hAnsi="Arial" w:cs="Arial"/>
          <w:sz w:val="24"/>
          <w:szCs w:val="24"/>
          <w:u w:val="single"/>
        </w:rPr>
        <w:t>Class Allocation Methodologies</w:t>
      </w:r>
    </w:p>
    <w:p w:rsidR="00CE3106" w:rsidP="00CE3106" w:rsidRDefault="00CE3106" w14:paraId="23546C55" w14:textId="77777777">
      <w:pPr>
        <w:pStyle w:val="ListParagraph"/>
        <w:ind w:left="1080"/>
        <w:rPr>
          <w:rFonts w:ascii="Arial" w:hAnsi="Arial" w:cs="Arial"/>
          <w:sz w:val="24"/>
          <w:szCs w:val="24"/>
        </w:rPr>
      </w:pPr>
    </w:p>
    <w:p w:rsidRPr="008F00FB" w:rsidR="00B97687" w:rsidP="00B97687" w:rsidRDefault="00B97687" w14:paraId="78CCD0D7" w14:textId="77777777">
      <w:pPr>
        <w:pStyle w:val="ListParagraph"/>
        <w:numPr>
          <w:ilvl w:val="0"/>
          <w:numId w:val="2"/>
        </w:numPr>
        <w:rPr>
          <w:rFonts w:ascii="Arial" w:hAnsi="Arial" w:cs="Arial"/>
          <w:sz w:val="24"/>
          <w:szCs w:val="24"/>
        </w:rPr>
      </w:pPr>
      <w:r w:rsidRPr="008F00FB">
        <w:rPr>
          <w:rFonts w:ascii="Arial" w:hAnsi="Arial" w:cs="Arial"/>
          <w:sz w:val="24"/>
          <w:szCs w:val="24"/>
        </w:rPr>
        <w:t xml:space="preserve">All allocation factors and associated data are provided in Schedule II-I-1 and the workpapers associated with Schedule II-I-1.  Separate Schedules II-I-1 are </w:t>
      </w:r>
      <w:r w:rsidRPr="008F00FB" w:rsidR="009156D1">
        <w:rPr>
          <w:rFonts w:ascii="Arial" w:hAnsi="Arial" w:cs="Arial"/>
          <w:sz w:val="24"/>
          <w:szCs w:val="24"/>
        </w:rPr>
        <w:t>provided for</w:t>
      </w:r>
      <w:r w:rsidRPr="008F00FB">
        <w:rPr>
          <w:rFonts w:ascii="Arial" w:hAnsi="Arial" w:cs="Arial"/>
          <w:sz w:val="24"/>
          <w:szCs w:val="24"/>
        </w:rPr>
        <w:t xml:space="preserve"> the distribution function (Schedule II-I-DIST), the meter function (Schedule II-I-MET) and the combined customer </w:t>
      </w:r>
      <w:r w:rsidRPr="008F00FB" w:rsidR="009156D1">
        <w:rPr>
          <w:rFonts w:ascii="Arial" w:hAnsi="Arial" w:cs="Arial"/>
          <w:sz w:val="24"/>
          <w:szCs w:val="24"/>
        </w:rPr>
        <w:t>billing</w:t>
      </w:r>
      <w:r w:rsidRPr="008F00FB">
        <w:rPr>
          <w:rFonts w:ascii="Arial" w:hAnsi="Arial" w:cs="Arial"/>
          <w:sz w:val="24"/>
          <w:szCs w:val="24"/>
        </w:rPr>
        <w:t xml:space="preserve"> and transmission-</w:t>
      </w:r>
      <w:r w:rsidRPr="008F00FB" w:rsidR="009156D1">
        <w:rPr>
          <w:rFonts w:ascii="Arial" w:hAnsi="Arial" w:cs="Arial"/>
          <w:sz w:val="24"/>
          <w:szCs w:val="24"/>
        </w:rPr>
        <w:t>distribution</w:t>
      </w:r>
      <w:r w:rsidRPr="008F00FB">
        <w:rPr>
          <w:rFonts w:ascii="Arial" w:hAnsi="Arial" w:cs="Arial"/>
          <w:sz w:val="24"/>
          <w:szCs w:val="24"/>
        </w:rPr>
        <w:t xml:space="preserve"> customer services</w:t>
      </w:r>
      <w:r w:rsidR="001F2DE8">
        <w:rPr>
          <w:rFonts w:ascii="Arial" w:hAnsi="Arial" w:cs="Arial"/>
          <w:sz w:val="24"/>
          <w:szCs w:val="24"/>
        </w:rPr>
        <w:t xml:space="preserve"> functions</w:t>
      </w:r>
      <w:r w:rsidRPr="008F00FB">
        <w:rPr>
          <w:rFonts w:ascii="Arial" w:hAnsi="Arial" w:cs="Arial"/>
          <w:sz w:val="24"/>
          <w:szCs w:val="24"/>
        </w:rPr>
        <w:t xml:space="preserve"> (Schedule II-I-TBILLTDCS).  Total allocated costs by customer class are provided on Schedule II-I-TOTAL and a summary </w:t>
      </w:r>
      <w:r w:rsidRPr="008F00FB" w:rsidR="009156D1">
        <w:rPr>
          <w:rFonts w:ascii="Arial" w:hAnsi="Arial" w:cs="Arial"/>
          <w:sz w:val="24"/>
          <w:szCs w:val="24"/>
        </w:rPr>
        <w:t>of allocated</w:t>
      </w:r>
      <w:r w:rsidRPr="008F00FB">
        <w:rPr>
          <w:rFonts w:ascii="Arial" w:hAnsi="Arial" w:cs="Arial"/>
          <w:sz w:val="24"/>
          <w:szCs w:val="24"/>
        </w:rPr>
        <w:t xml:space="preserve"> costs by class are </w:t>
      </w:r>
      <w:r w:rsidRPr="008F00FB" w:rsidR="009156D1">
        <w:rPr>
          <w:rFonts w:ascii="Arial" w:hAnsi="Arial" w:cs="Arial"/>
          <w:sz w:val="24"/>
          <w:szCs w:val="24"/>
        </w:rPr>
        <w:t>provided on</w:t>
      </w:r>
      <w:r w:rsidRPr="008F00FB">
        <w:rPr>
          <w:rFonts w:ascii="Arial" w:hAnsi="Arial" w:cs="Arial"/>
          <w:sz w:val="24"/>
          <w:szCs w:val="24"/>
        </w:rPr>
        <w:t xml:space="preserve"> Schedule II-I-SUMMARY.  The allocation factors used in </w:t>
      </w:r>
      <w:r w:rsidRPr="008F00FB" w:rsidR="009156D1">
        <w:rPr>
          <w:rFonts w:ascii="Arial" w:hAnsi="Arial" w:cs="Arial"/>
          <w:sz w:val="24"/>
          <w:szCs w:val="24"/>
        </w:rPr>
        <w:t>Schedule</w:t>
      </w:r>
      <w:r w:rsidRPr="008F00FB">
        <w:rPr>
          <w:rFonts w:ascii="Arial" w:hAnsi="Arial" w:cs="Arial"/>
          <w:sz w:val="24"/>
          <w:szCs w:val="24"/>
        </w:rPr>
        <w:t xml:space="preserve"> II-I-1 are comprised of (a) externally developed allocation factors that employ class load information and account specific information and (b) internally derived allocation factors that utilize the results of previously </w:t>
      </w:r>
      <w:r w:rsidRPr="008F00FB" w:rsidR="009156D1">
        <w:rPr>
          <w:rFonts w:ascii="Arial" w:hAnsi="Arial" w:cs="Arial"/>
          <w:sz w:val="24"/>
          <w:szCs w:val="24"/>
        </w:rPr>
        <w:t>allocated</w:t>
      </w:r>
      <w:r w:rsidRPr="008F00FB">
        <w:rPr>
          <w:rFonts w:ascii="Arial" w:hAnsi="Arial" w:cs="Arial"/>
          <w:sz w:val="24"/>
          <w:szCs w:val="24"/>
        </w:rPr>
        <w:t xml:space="preserve"> costs.</w:t>
      </w:r>
    </w:p>
    <w:p w:rsidRPr="008F00FB" w:rsidR="00B97687" w:rsidP="00B97687" w:rsidRDefault="008F00FB" w14:paraId="6474D1BF" w14:textId="52F0BBE4">
      <w:pPr>
        <w:pStyle w:val="ListParagraph"/>
        <w:numPr>
          <w:ilvl w:val="0"/>
          <w:numId w:val="3"/>
        </w:numPr>
        <w:rPr>
          <w:rFonts w:ascii="Arial" w:hAnsi="Arial" w:cs="Arial"/>
          <w:sz w:val="24"/>
          <w:szCs w:val="24"/>
        </w:rPr>
      </w:pPr>
      <w:r w:rsidRPr="008F00FB">
        <w:rPr>
          <w:rFonts w:ascii="Arial" w:hAnsi="Arial" w:cs="Arial"/>
          <w:sz w:val="24"/>
          <w:szCs w:val="24"/>
        </w:rPr>
        <w:t>Allocation factor designations are located on pages 7</w:t>
      </w:r>
      <w:r w:rsidR="00C72141">
        <w:rPr>
          <w:rFonts w:ascii="Arial" w:hAnsi="Arial" w:cs="Arial"/>
          <w:sz w:val="24"/>
          <w:szCs w:val="24"/>
        </w:rPr>
        <w:t>7</w:t>
      </w:r>
      <w:r w:rsidRPr="008F00FB">
        <w:rPr>
          <w:rFonts w:ascii="Arial" w:hAnsi="Arial" w:cs="Arial"/>
          <w:sz w:val="24"/>
          <w:szCs w:val="24"/>
        </w:rPr>
        <w:t xml:space="preserve"> through </w:t>
      </w:r>
      <w:r w:rsidR="00C72141">
        <w:rPr>
          <w:rFonts w:ascii="Arial" w:hAnsi="Arial" w:cs="Arial"/>
          <w:sz w:val="24"/>
          <w:szCs w:val="24"/>
        </w:rPr>
        <w:t>82</w:t>
      </w:r>
      <w:r w:rsidRPr="008F00FB">
        <w:rPr>
          <w:rFonts w:ascii="Arial" w:hAnsi="Arial" w:cs="Arial"/>
          <w:sz w:val="24"/>
          <w:szCs w:val="24"/>
        </w:rPr>
        <w:t xml:space="preserve"> of Schedules II-I-DIST, Schedule II-I-MET and Schedule II-I-TBILLTDCS.  The </w:t>
      </w:r>
      <w:r w:rsidRPr="008F00FB" w:rsidR="009156D1">
        <w:rPr>
          <w:rFonts w:ascii="Arial" w:hAnsi="Arial" w:cs="Arial"/>
          <w:sz w:val="24"/>
          <w:szCs w:val="24"/>
        </w:rPr>
        <w:t>allocation</w:t>
      </w:r>
      <w:r w:rsidRPr="008F00FB">
        <w:rPr>
          <w:rFonts w:ascii="Arial" w:hAnsi="Arial" w:cs="Arial"/>
          <w:sz w:val="24"/>
          <w:szCs w:val="24"/>
        </w:rPr>
        <w:t xml:space="preserve"> factor numbers and associated allocation factor designations are provided in columns (b) and (c) of these schedules.</w:t>
      </w:r>
    </w:p>
    <w:p w:rsidRPr="008F00FB" w:rsidR="008F00FB" w:rsidP="00B97687" w:rsidRDefault="001F2DE8" w14:paraId="709F8026" w14:textId="51D7A4C2">
      <w:pPr>
        <w:pStyle w:val="ListParagraph"/>
        <w:numPr>
          <w:ilvl w:val="0"/>
          <w:numId w:val="3"/>
        </w:numPr>
        <w:rPr>
          <w:rFonts w:ascii="Arial" w:hAnsi="Arial" w:cs="Arial"/>
          <w:sz w:val="24"/>
          <w:szCs w:val="24"/>
        </w:rPr>
      </w:pPr>
      <w:r>
        <w:rPr>
          <w:rFonts w:ascii="Arial" w:hAnsi="Arial" w:cs="Arial"/>
          <w:sz w:val="24"/>
          <w:szCs w:val="24"/>
        </w:rPr>
        <w:t>A n</w:t>
      </w:r>
      <w:r w:rsidRPr="008F00FB" w:rsidR="009156D1">
        <w:rPr>
          <w:rFonts w:ascii="Arial" w:hAnsi="Arial" w:cs="Arial"/>
          <w:sz w:val="24"/>
          <w:szCs w:val="24"/>
        </w:rPr>
        <w:t>arrative</w:t>
      </w:r>
      <w:r w:rsidRPr="008F00FB" w:rsidR="008F00FB">
        <w:rPr>
          <w:rFonts w:ascii="Arial" w:hAnsi="Arial" w:cs="Arial"/>
          <w:sz w:val="24"/>
          <w:szCs w:val="24"/>
        </w:rPr>
        <w:t xml:space="preserve"> description of each allocation factor designation </w:t>
      </w:r>
      <w:r>
        <w:rPr>
          <w:rFonts w:ascii="Arial" w:hAnsi="Arial" w:cs="Arial"/>
          <w:sz w:val="24"/>
          <w:szCs w:val="24"/>
        </w:rPr>
        <w:t>is</w:t>
      </w:r>
      <w:r w:rsidRPr="008F00FB" w:rsidR="008F00FB">
        <w:rPr>
          <w:rFonts w:ascii="Arial" w:hAnsi="Arial" w:cs="Arial"/>
          <w:sz w:val="24"/>
          <w:szCs w:val="24"/>
        </w:rPr>
        <w:t xml:space="preserve"> provided in column (a) </w:t>
      </w:r>
      <w:r w:rsidR="00B75504">
        <w:rPr>
          <w:rFonts w:ascii="Arial" w:hAnsi="Arial" w:cs="Arial"/>
          <w:sz w:val="24"/>
          <w:szCs w:val="24"/>
        </w:rPr>
        <w:t>of pages 7</w:t>
      </w:r>
      <w:r w:rsidR="00C72141">
        <w:rPr>
          <w:rFonts w:ascii="Arial" w:hAnsi="Arial" w:cs="Arial"/>
          <w:sz w:val="24"/>
          <w:szCs w:val="24"/>
        </w:rPr>
        <w:t>7</w:t>
      </w:r>
      <w:r w:rsidR="00B75504">
        <w:rPr>
          <w:rFonts w:ascii="Arial" w:hAnsi="Arial" w:cs="Arial"/>
          <w:sz w:val="24"/>
          <w:szCs w:val="24"/>
        </w:rPr>
        <w:t xml:space="preserve"> through </w:t>
      </w:r>
      <w:r w:rsidR="00C72141">
        <w:rPr>
          <w:rFonts w:ascii="Arial" w:hAnsi="Arial" w:cs="Arial"/>
          <w:sz w:val="24"/>
          <w:szCs w:val="24"/>
        </w:rPr>
        <w:t>82</w:t>
      </w:r>
      <w:r w:rsidR="00B75504">
        <w:rPr>
          <w:rFonts w:ascii="Arial" w:hAnsi="Arial" w:cs="Arial"/>
          <w:sz w:val="24"/>
          <w:szCs w:val="24"/>
        </w:rPr>
        <w:t xml:space="preserve"> of</w:t>
      </w:r>
      <w:r w:rsidRPr="008F00FB" w:rsidR="008F00FB">
        <w:rPr>
          <w:rFonts w:ascii="Arial" w:hAnsi="Arial" w:cs="Arial"/>
          <w:sz w:val="24"/>
          <w:szCs w:val="24"/>
        </w:rPr>
        <w:t xml:space="preserve"> Schedules II-I-DIST, II-I-MET and II-I-TBILLTDCS.</w:t>
      </w:r>
    </w:p>
    <w:p w:rsidRPr="008F00FB" w:rsidR="008F00FB" w:rsidP="00B97687" w:rsidRDefault="008F00FB" w14:paraId="320423FF" w14:textId="7C4B63F5">
      <w:pPr>
        <w:pStyle w:val="ListParagraph"/>
        <w:numPr>
          <w:ilvl w:val="0"/>
          <w:numId w:val="3"/>
        </w:numPr>
        <w:rPr>
          <w:rFonts w:ascii="Arial" w:hAnsi="Arial" w:cs="Arial"/>
          <w:sz w:val="24"/>
          <w:szCs w:val="24"/>
        </w:rPr>
      </w:pPr>
      <w:r w:rsidRPr="008F00FB">
        <w:rPr>
          <w:rFonts w:ascii="Arial" w:hAnsi="Arial" w:cs="Arial"/>
          <w:sz w:val="24"/>
          <w:szCs w:val="24"/>
        </w:rPr>
        <w:t>Decimal representations of allocation factors by customer class are provided on pages 7</w:t>
      </w:r>
      <w:r w:rsidR="00C72141">
        <w:rPr>
          <w:rFonts w:ascii="Arial" w:hAnsi="Arial" w:cs="Arial"/>
          <w:sz w:val="24"/>
          <w:szCs w:val="24"/>
        </w:rPr>
        <w:t>7</w:t>
      </w:r>
      <w:r w:rsidRPr="008F00FB">
        <w:rPr>
          <w:rFonts w:ascii="Arial" w:hAnsi="Arial" w:cs="Arial"/>
          <w:sz w:val="24"/>
          <w:szCs w:val="24"/>
        </w:rPr>
        <w:t xml:space="preserve"> through </w:t>
      </w:r>
      <w:r w:rsidR="00C72141">
        <w:rPr>
          <w:rFonts w:ascii="Arial" w:hAnsi="Arial" w:cs="Arial"/>
          <w:sz w:val="24"/>
          <w:szCs w:val="24"/>
        </w:rPr>
        <w:t>82</w:t>
      </w:r>
      <w:r w:rsidRPr="008F00FB">
        <w:rPr>
          <w:rFonts w:ascii="Arial" w:hAnsi="Arial" w:cs="Arial"/>
          <w:sz w:val="24"/>
          <w:szCs w:val="24"/>
        </w:rPr>
        <w:t xml:space="preserve"> columns (d) through (n) of Schedules II-I-DIST, II-I-MET and II-I-TBILLTDCS.  The development of the decimal representations of the allocation </w:t>
      </w:r>
      <w:r w:rsidRPr="008F00FB" w:rsidR="009156D1">
        <w:rPr>
          <w:rFonts w:ascii="Arial" w:hAnsi="Arial" w:cs="Arial"/>
          <w:sz w:val="24"/>
          <w:szCs w:val="24"/>
        </w:rPr>
        <w:t>factors</w:t>
      </w:r>
      <w:r w:rsidRPr="008F00FB">
        <w:rPr>
          <w:rFonts w:ascii="Arial" w:hAnsi="Arial" w:cs="Arial"/>
          <w:sz w:val="24"/>
          <w:szCs w:val="24"/>
        </w:rPr>
        <w:t xml:space="preserve"> employed in the class cost of service study are </w:t>
      </w:r>
      <w:r w:rsidRPr="008F00FB" w:rsidR="009156D1">
        <w:rPr>
          <w:rFonts w:ascii="Arial" w:hAnsi="Arial" w:cs="Arial"/>
          <w:sz w:val="24"/>
          <w:szCs w:val="24"/>
        </w:rPr>
        <w:t>provided on</w:t>
      </w:r>
      <w:r w:rsidRPr="008F00FB">
        <w:rPr>
          <w:rFonts w:ascii="Arial" w:hAnsi="Arial" w:cs="Arial"/>
          <w:sz w:val="24"/>
          <w:szCs w:val="24"/>
        </w:rPr>
        <w:t xml:space="preserve"> pages </w:t>
      </w:r>
      <w:r w:rsidR="00C72141">
        <w:rPr>
          <w:rFonts w:ascii="Arial" w:hAnsi="Arial" w:cs="Arial"/>
          <w:sz w:val="24"/>
          <w:szCs w:val="24"/>
        </w:rPr>
        <w:t>71</w:t>
      </w:r>
      <w:r w:rsidRPr="008F00FB">
        <w:rPr>
          <w:rFonts w:ascii="Arial" w:hAnsi="Arial" w:cs="Arial"/>
          <w:sz w:val="24"/>
          <w:szCs w:val="24"/>
        </w:rPr>
        <w:t xml:space="preserve"> through 7</w:t>
      </w:r>
      <w:r w:rsidR="00C72141">
        <w:rPr>
          <w:rFonts w:ascii="Arial" w:hAnsi="Arial" w:cs="Arial"/>
          <w:sz w:val="24"/>
          <w:szCs w:val="24"/>
        </w:rPr>
        <w:t>6</w:t>
      </w:r>
      <w:r w:rsidRPr="008F00FB">
        <w:rPr>
          <w:rFonts w:ascii="Arial" w:hAnsi="Arial" w:cs="Arial"/>
          <w:sz w:val="24"/>
          <w:szCs w:val="24"/>
        </w:rPr>
        <w:t xml:space="preserve">, columns (d) through (n) of Schedules II-I-DIST, II-I-MET and II-I-TBILLTDCS.  Pages </w:t>
      </w:r>
      <w:r w:rsidR="00C72141">
        <w:rPr>
          <w:rFonts w:ascii="Arial" w:hAnsi="Arial" w:cs="Arial"/>
          <w:sz w:val="24"/>
          <w:szCs w:val="24"/>
        </w:rPr>
        <w:t>71</w:t>
      </w:r>
      <w:r w:rsidRPr="008F00FB">
        <w:rPr>
          <w:rFonts w:ascii="Arial" w:hAnsi="Arial" w:cs="Arial"/>
          <w:sz w:val="24"/>
          <w:szCs w:val="24"/>
        </w:rPr>
        <w:t xml:space="preserve"> through 7</w:t>
      </w:r>
      <w:r w:rsidR="00C72141">
        <w:rPr>
          <w:rFonts w:ascii="Arial" w:hAnsi="Arial" w:cs="Arial"/>
          <w:sz w:val="24"/>
          <w:szCs w:val="24"/>
        </w:rPr>
        <w:t>6</w:t>
      </w:r>
      <w:r w:rsidRPr="008F00FB">
        <w:rPr>
          <w:rFonts w:ascii="Arial" w:hAnsi="Arial" w:cs="Arial"/>
          <w:sz w:val="24"/>
          <w:szCs w:val="24"/>
        </w:rPr>
        <w:t xml:space="preserve"> further show the development of the numerator and denominator of class allocation factors and provide clear references to the source data used to develop the numerator and the denominator.  </w:t>
      </w:r>
    </w:p>
    <w:p w:rsidR="008F00FB" w:rsidP="00B97687" w:rsidRDefault="008F00FB" w14:paraId="63E5C095" w14:textId="73B56CF3">
      <w:pPr>
        <w:pStyle w:val="ListParagraph"/>
        <w:numPr>
          <w:ilvl w:val="0"/>
          <w:numId w:val="3"/>
        </w:numPr>
        <w:rPr>
          <w:rFonts w:ascii="Arial" w:hAnsi="Arial" w:cs="Arial"/>
          <w:sz w:val="24"/>
          <w:szCs w:val="24"/>
        </w:rPr>
      </w:pPr>
      <w:r w:rsidRPr="008F00FB">
        <w:rPr>
          <w:rFonts w:ascii="Arial" w:hAnsi="Arial" w:cs="Arial"/>
          <w:sz w:val="24"/>
          <w:szCs w:val="24"/>
        </w:rPr>
        <w:t xml:space="preserve">The absolute amounts that constitute the allocation </w:t>
      </w:r>
      <w:r w:rsidRPr="008F00FB" w:rsidR="009156D1">
        <w:rPr>
          <w:rFonts w:ascii="Arial" w:hAnsi="Arial" w:cs="Arial"/>
          <w:sz w:val="24"/>
          <w:szCs w:val="24"/>
        </w:rPr>
        <w:t>factors</w:t>
      </w:r>
      <w:r w:rsidRPr="008F00FB">
        <w:rPr>
          <w:rFonts w:ascii="Arial" w:hAnsi="Arial" w:cs="Arial"/>
          <w:sz w:val="24"/>
          <w:szCs w:val="24"/>
        </w:rPr>
        <w:t xml:space="preserve"> are provided on pages </w:t>
      </w:r>
      <w:r w:rsidR="00C72141">
        <w:rPr>
          <w:rFonts w:ascii="Arial" w:hAnsi="Arial" w:cs="Arial"/>
          <w:sz w:val="24"/>
          <w:szCs w:val="24"/>
        </w:rPr>
        <w:t>71</w:t>
      </w:r>
      <w:r w:rsidRPr="008F00FB">
        <w:rPr>
          <w:rFonts w:ascii="Arial" w:hAnsi="Arial" w:cs="Arial"/>
          <w:sz w:val="24"/>
          <w:szCs w:val="24"/>
        </w:rPr>
        <w:t xml:space="preserve"> through 7</w:t>
      </w:r>
      <w:r w:rsidR="00C72141">
        <w:rPr>
          <w:rFonts w:ascii="Arial" w:hAnsi="Arial" w:cs="Arial"/>
          <w:sz w:val="24"/>
          <w:szCs w:val="24"/>
        </w:rPr>
        <w:t>6</w:t>
      </w:r>
      <w:r w:rsidRPr="008F00FB">
        <w:rPr>
          <w:rFonts w:ascii="Arial" w:hAnsi="Arial" w:cs="Arial"/>
          <w:sz w:val="24"/>
          <w:szCs w:val="24"/>
        </w:rPr>
        <w:t xml:space="preserve">, columns (d) through (n) </w:t>
      </w:r>
      <w:r w:rsidR="00B75504">
        <w:rPr>
          <w:rFonts w:ascii="Arial" w:hAnsi="Arial" w:cs="Arial"/>
          <w:sz w:val="24"/>
          <w:szCs w:val="24"/>
        </w:rPr>
        <w:t xml:space="preserve">of Schedules II-I-DIST, II-I-MET, and II-I-TBILLTDCS as </w:t>
      </w:r>
      <w:r w:rsidRPr="008F00FB">
        <w:rPr>
          <w:rFonts w:ascii="Arial" w:hAnsi="Arial" w:cs="Arial"/>
          <w:sz w:val="24"/>
          <w:szCs w:val="24"/>
        </w:rPr>
        <w:t>described in section 1.c above.</w:t>
      </w:r>
    </w:p>
    <w:p w:rsidR="008F00FB" w:rsidP="00B97687" w:rsidRDefault="008F00FB" w14:paraId="0019F0E5" w14:textId="24713822">
      <w:pPr>
        <w:pStyle w:val="ListParagraph"/>
        <w:numPr>
          <w:ilvl w:val="0"/>
          <w:numId w:val="3"/>
        </w:numPr>
        <w:rPr>
          <w:rFonts w:ascii="Arial" w:hAnsi="Arial" w:cs="Arial"/>
          <w:sz w:val="24"/>
          <w:szCs w:val="24"/>
        </w:rPr>
      </w:pPr>
      <w:r>
        <w:rPr>
          <w:rFonts w:ascii="Arial" w:hAnsi="Arial" w:cs="Arial"/>
          <w:sz w:val="24"/>
          <w:szCs w:val="24"/>
        </w:rPr>
        <w:lastRenderedPageBreak/>
        <w:t>Descriptions</w:t>
      </w:r>
      <w:r w:rsidR="009156D1">
        <w:rPr>
          <w:rFonts w:ascii="Arial" w:hAnsi="Arial" w:cs="Arial"/>
          <w:sz w:val="24"/>
          <w:szCs w:val="24"/>
        </w:rPr>
        <w:t xml:space="preserve"> </w:t>
      </w:r>
      <w:r>
        <w:rPr>
          <w:rFonts w:ascii="Arial" w:hAnsi="Arial" w:cs="Arial"/>
          <w:sz w:val="24"/>
          <w:szCs w:val="24"/>
        </w:rPr>
        <w:t xml:space="preserve">of the cost items that are subject to each specific allocation factor are provided on pages 5 through </w:t>
      </w:r>
      <w:r w:rsidR="00C72141">
        <w:rPr>
          <w:rFonts w:ascii="Arial" w:hAnsi="Arial" w:cs="Arial"/>
          <w:sz w:val="24"/>
          <w:szCs w:val="24"/>
        </w:rPr>
        <w:t>70</w:t>
      </w:r>
      <w:r>
        <w:rPr>
          <w:rFonts w:ascii="Arial" w:hAnsi="Arial" w:cs="Arial"/>
          <w:sz w:val="24"/>
          <w:szCs w:val="24"/>
        </w:rPr>
        <w:t xml:space="preserve"> of Schedules II-I-DIST, II-I</w:t>
      </w:r>
      <w:r w:rsidR="00B75504">
        <w:rPr>
          <w:rFonts w:ascii="Arial" w:hAnsi="Arial" w:cs="Arial"/>
          <w:sz w:val="24"/>
          <w:szCs w:val="24"/>
        </w:rPr>
        <w:t>-</w:t>
      </w:r>
      <w:r>
        <w:rPr>
          <w:rFonts w:ascii="Arial" w:hAnsi="Arial" w:cs="Arial"/>
          <w:sz w:val="24"/>
          <w:szCs w:val="24"/>
        </w:rPr>
        <w:t>MET and II-I-TBILLTDCS.  The description of each cost item allocated include</w:t>
      </w:r>
      <w:r w:rsidR="001F2DE8">
        <w:rPr>
          <w:rFonts w:ascii="Arial" w:hAnsi="Arial" w:cs="Arial"/>
          <w:sz w:val="24"/>
          <w:szCs w:val="24"/>
        </w:rPr>
        <w:t>s</w:t>
      </w:r>
      <w:r>
        <w:rPr>
          <w:rFonts w:ascii="Arial" w:hAnsi="Arial" w:cs="Arial"/>
          <w:sz w:val="24"/>
          <w:szCs w:val="24"/>
        </w:rPr>
        <w:t xml:space="preserve"> the amount and name of each cost item being allocated.  Several distribution accounts in Schedule II-I</w:t>
      </w:r>
      <w:r w:rsidR="00BF6088">
        <w:rPr>
          <w:rFonts w:ascii="Arial" w:hAnsi="Arial" w:cs="Arial"/>
          <w:sz w:val="24"/>
          <w:szCs w:val="24"/>
        </w:rPr>
        <w:t>-</w:t>
      </w:r>
      <w:r>
        <w:rPr>
          <w:rFonts w:ascii="Arial" w:hAnsi="Arial" w:cs="Arial"/>
          <w:sz w:val="24"/>
          <w:szCs w:val="24"/>
        </w:rPr>
        <w:t xml:space="preserve">DIST are subject to more than one allocation factor, which allows allocations to distinguish between primary voltage costs and secondary voltage costs.  </w:t>
      </w:r>
      <w:r w:rsidR="00B52AB2">
        <w:rPr>
          <w:rFonts w:ascii="Arial" w:hAnsi="Arial" w:cs="Arial"/>
          <w:sz w:val="24"/>
          <w:szCs w:val="24"/>
        </w:rPr>
        <w:t>The accounts that are subject to primary and secondary volta</w:t>
      </w:r>
      <w:r w:rsidR="001F2DE8">
        <w:rPr>
          <w:rFonts w:ascii="Arial" w:hAnsi="Arial" w:cs="Arial"/>
          <w:sz w:val="24"/>
          <w:szCs w:val="24"/>
        </w:rPr>
        <w:t>g</w:t>
      </w:r>
      <w:r w:rsidR="00B52AB2">
        <w:rPr>
          <w:rFonts w:ascii="Arial" w:hAnsi="Arial" w:cs="Arial"/>
          <w:sz w:val="24"/>
          <w:szCs w:val="24"/>
        </w:rPr>
        <w:t>e allocations include the following:  Account 364, Poles, Towers and Fixtures; Account 365 Overhead Conductors and Devices; Account 366, Underground Conduits, and Account 36</w:t>
      </w:r>
      <w:r w:rsidR="001F2DE8">
        <w:rPr>
          <w:rFonts w:ascii="Arial" w:hAnsi="Arial" w:cs="Arial"/>
          <w:sz w:val="24"/>
          <w:szCs w:val="24"/>
        </w:rPr>
        <w:t>7</w:t>
      </w:r>
      <w:r w:rsidR="00B52AB2">
        <w:rPr>
          <w:rFonts w:ascii="Arial" w:hAnsi="Arial" w:cs="Arial"/>
          <w:sz w:val="24"/>
          <w:szCs w:val="24"/>
        </w:rPr>
        <w:t>, Underground Conductors and Devices.  In addition, the investment in Account 368, Line Transformers, ha</w:t>
      </w:r>
      <w:r w:rsidR="001F2DE8">
        <w:rPr>
          <w:rFonts w:ascii="Arial" w:hAnsi="Arial" w:cs="Arial"/>
          <w:sz w:val="24"/>
          <w:szCs w:val="24"/>
        </w:rPr>
        <w:t>s</w:t>
      </w:r>
      <w:r w:rsidR="00B52AB2">
        <w:rPr>
          <w:rFonts w:ascii="Arial" w:hAnsi="Arial" w:cs="Arial"/>
          <w:sz w:val="24"/>
          <w:szCs w:val="24"/>
        </w:rPr>
        <w:t xml:space="preserve"> been further separated into three categories – regulators and protectors which are related to primary voltage </w:t>
      </w:r>
      <w:r w:rsidR="009156D1">
        <w:rPr>
          <w:rFonts w:ascii="Arial" w:hAnsi="Arial" w:cs="Arial"/>
          <w:sz w:val="24"/>
          <w:szCs w:val="24"/>
        </w:rPr>
        <w:t>deliveries</w:t>
      </w:r>
      <w:r w:rsidR="00B52AB2">
        <w:rPr>
          <w:rFonts w:ascii="Arial" w:hAnsi="Arial" w:cs="Arial"/>
          <w:sz w:val="24"/>
          <w:szCs w:val="24"/>
        </w:rPr>
        <w:t xml:space="preserve">, secondary transformers </w:t>
      </w:r>
      <w:r w:rsidR="009156D1">
        <w:rPr>
          <w:rFonts w:ascii="Arial" w:hAnsi="Arial" w:cs="Arial"/>
          <w:sz w:val="24"/>
          <w:szCs w:val="24"/>
        </w:rPr>
        <w:t>which</w:t>
      </w:r>
      <w:r w:rsidR="00B52AB2">
        <w:rPr>
          <w:rFonts w:ascii="Arial" w:hAnsi="Arial" w:cs="Arial"/>
          <w:sz w:val="24"/>
          <w:szCs w:val="24"/>
        </w:rPr>
        <w:t xml:space="preserve"> are associated with secondary voltage deliveries, and capacitors which serve all voltage levels.  The percentages of accounts 364 through 367 that are identified as being primary and secondary related and the percentages of account 368 that are identified as primary </w:t>
      </w:r>
      <w:r w:rsidR="001F2DE8">
        <w:rPr>
          <w:rFonts w:ascii="Arial" w:hAnsi="Arial" w:cs="Arial"/>
          <w:sz w:val="24"/>
          <w:szCs w:val="24"/>
        </w:rPr>
        <w:t xml:space="preserve">and </w:t>
      </w:r>
      <w:r w:rsidR="00B52AB2">
        <w:rPr>
          <w:rFonts w:ascii="Arial" w:hAnsi="Arial" w:cs="Arial"/>
          <w:sz w:val="24"/>
          <w:szCs w:val="24"/>
        </w:rPr>
        <w:t>secondary related and capacitors are provided in workpapers WP</w:t>
      </w:r>
      <w:r w:rsidR="00CE3106">
        <w:rPr>
          <w:rFonts w:ascii="Arial" w:hAnsi="Arial" w:cs="Arial"/>
          <w:sz w:val="24"/>
          <w:szCs w:val="24"/>
        </w:rPr>
        <w:t>/</w:t>
      </w:r>
      <w:r w:rsidR="00B52AB2">
        <w:rPr>
          <w:rFonts w:ascii="Arial" w:hAnsi="Arial" w:cs="Arial"/>
          <w:sz w:val="24"/>
          <w:szCs w:val="24"/>
        </w:rPr>
        <w:t>II-I-1.2 and WP</w:t>
      </w:r>
      <w:r w:rsidR="00CE3106">
        <w:rPr>
          <w:rFonts w:ascii="Arial" w:hAnsi="Arial" w:cs="Arial"/>
          <w:sz w:val="24"/>
          <w:szCs w:val="24"/>
        </w:rPr>
        <w:t>/</w:t>
      </w:r>
      <w:r w:rsidR="00B52AB2">
        <w:rPr>
          <w:rFonts w:ascii="Arial" w:hAnsi="Arial" w:cs="Arial"/>
          <w:sz w:val="24"/>
          <w:szCs w:val="24"/>
        </w:rPr>
        <w:t>II-1-2.1.  Support for these percentages is provided in WP/II-I-1.2.4.</w:t>
      </w:r>
    </w:p>
    <w:p w:rsidR="00B52AB2" w:rsidP="00B97687" w:rsidRDefault="00B52AB2" w14:paraId="7E3B2FB8" w14:textId="77777777">
      <w:pPr>
        <w:pStyle w:val="ListParagraph"/>
        <w:numPr>
          <w:ilvl w:val="0"/>
          <w:numId w:val="3"/>
        </w:numPr>
        <w:rPr>
          <w:rFonts w:ascii="Arial" w:hAnsi="Arial" w:cs="Arial"/>
          <w:sz w:val="24"/>
          <w:szCs w:val="24"/>
        </w:rPr>
      </w:pPr>
      <w:r>
        <w:rPr>
          <w:rFonts w:ascii="Arial" w:hAnsi="Arial" w:cs="Arial"/>
          <w:sz w:val="24"/>
          <w:szCs w:val="24"/>
        </w:rPr>
        <w:t>Distribution accounts 364 through 36</w:t>
      </w:r>
      <w:r w:rsidR="001F2DE8">
        <w:rPr>
          <w:rFonts w:ascii="Arial" w:hAnsi="Arial" w:cs="Arial"/>
          <w:sz w:val="24"/>
          <w:szCs w:val="24"/>
        </w:rPr>
        <w:t>8</w:t>
      </w:r>
      <w:r>
        <w:rPr>
          <w:rFonts w:ascii="Arial" w:hAnsi="Arial" w:cs="Arial"/>
          <w:sz w:val="24"/>
          <w:szCs w:val="24"/>
        </w:rPr>
        <w:t xml:space="preserve"> include plant that services more than one voltage level.  In order to properly allocate costs to the voltage level served by the plant is necessary to separate the plant items </w:t>
      </w:r>
      <w:r w:rsidR="009156D1">
        <w:rPr>
          <w:rFonts w:ascii="Arial" w:hAnsi="Arial" w:cs="Arial"/>
          <w:sz w:val="24"/>
          <w:szCs w:val="24"/>
        </w:rPr>
        <w:t>according</w:t>
      </w:r>
      <w:r>
        <w:rPr>
          <w:rFonts w:ascii="Arial" w:hAnsi="Arial" w:cs="Arial"/>
          <w:sz w:val="24"/>
          <w:szCs w:val="24"/>
        </w:rPr>
        <w:t xml:space="preserve"> to the </w:t>
      </w:r>
      <w:r w:rsidR="009156D1">
        <w:rPr>
          <w:rFonts w:ascii="Arial" w:hAnsi="Arial" w:cs="Arial"/>
          <w:sz w:val="24"/>
          <w:szCs w:val="24"/>
        </w:rPr>
        <w:t>voltage</w:t>
      </w:r>
      <w:r>
        <w:rPr>
          <w:rFonts w:ascii="Arial" w:hAnsi="Arial" w:cs="Arial"/>
          <w:sz w:val="24"/>
          <w:szCs w:val="24"/>
        </w:rPr>
        <w:t xml:space="preserve"> level </w:t>
      </w:r>
      <w:r w:rsidR="009156D1">
        <w:rPr>
          <w:rFonts w:ascii="Arial" w:hAnsi="Arial" w:cs="Arial"/>
          <w:sz w:val="24"/>
          <w:szCs w:val="24"/>
        </w:rPr>
        <w:t>served</w:t>
      </w:r>
      <w:r>
        <w:rPr>
          <w:rFonts w:ascii="Arial" w:hAnsi="Arial" w:cs="Arial"/>
          <w:sz w:val="24"/>
          <w:szCs w:val="24"/>
        </w:rPr>
        <w:t>.</w:t>
      </w:r>
    </w:p>
    <w:p w:rsidR="00B52AB2" w:rsidP="00B52AB2" w:rsidRDefault="00B52AB2" w14:paraId="3FA29E55" w14:textId="77777777">
      <w:pPr>
        <w:pStyle w:val="ListParagraph"/>
        <w:ind w:left="1440"/>
        <w:rPr>
          <w:rFonts w:ascii="Arial" w:hAnsi="Arial" w:cs="Arial"/>
          <w:sz w:val="24"/>
          <w:szCs w:val="24"/>
        </w:rPr>
      </w:pPr>
      <w:r w:rsidRPr="00B52AB2">
        <w:rPr>
          <w:rFonts w:ascii="Arial" w:hAnsi="Arial" w:cs="Arial"/>
          <w:sz w:val="24"/>
          <w:szCs w:val="24"/>
          <w:u w:val="single"/>
        </w:rPr>
        <w:t>Account 364, Poles Towers and Fixtures</w:t>
      </w:r>
      <w:r>
        <w:rPr>
          <w:rFonts w:ascii="Arial" w:hAnsi="Arial" w:cs="Arial"/>
          <w:sz w:val="24"/>
          <w:szCs w:val="24"/>
        </w:rPr>
        <w:t xml:space="preserve"> – The property units and vintage of poles were identified for three categories:  poles with</w:t>
      </w:r>
      <w:r w:rsidR="00BF6088">
        <w:rPr>
          <w:rFonts w:ascii="Arial" w:hAnsi="Arial" w:cs="Arial"/>
          <w:sz w:val="24"/>
          <w:szCs w:val="24"/>
        </w:rPr>
        <w:t xml:space="preserve"> (</w:t>
      </w:r>
      <w:proofErr w:type="spellStart"/>
      <w:r w:rsidR="00BF6088">
        <w:rPr>
          <w:rFonts w:ascii="Arial" w:hAnsi="Arial" w:cs="Arial"/>
          <w:sz w:val="24"/>
          <w:szCs w:val="24"/>
        </w:rPr>
        <w:t>i</w:t>
      </w:r>
      <w:proofErr w:type="spellEnd"/>
      <w:r w:rsidR="00BF6088">
        <w:rPr>
          <w:rFonts w:ascii="Arial" w:hAnsi="Arial" w:cs="Arial"/>
          <w:sz w:val="24"/>
          <w:szCs w:val="24"/>
        </w:rPr>
        <w:t>)</w:t>
      </w:r>
      <w:r>
        <w:rPr>
          <w:rFonts w:ascii="Arial" w:hAnsi="Arial" w:cs="Arial"/>
          <w:sz w:val="24"/>
          <w:szCs w:val="24"/>
        </w:rPr>
        <w:t xml:space="preserve"> primary conductor,</w:t>
      </w:r>
      <w:r w:rsidR="00BF6088">
        <w:rPr>
          <w:rFonts w:ascii="Arial" w:hAnsi="Arial" w:cs="Arial"/>
          <w:sz w:val="24"/>
          <w:szCs w:val="24"/>
        </w:rPr>
        <w:t xml:space="preserve"> (ii) </w:t>
      </w:r>
      <w:r>
        <w:rPr>
          <w:rFonts w:ascii="Arial" w:hAnsi="Arial" w:cs="Arial"/>
          <w:sz w:val="24"/>
          <w:szCs w:val="24"/>
        </w:rPr>
        <w:t xml:space="preserve">secondary </w:t>
      </w:r>
      <w:r w:rsidR="009156D1">
        <w:rPr>
          <w:rFonts w:ascii="Arial" w:hAnsi="Arial" w:cs="Arial"/>
          <w:sz w:val="24"/>
          <w:szCs w:val="24"/>
        </w:rPr>
        <w:t>conductor</w:t>
      </w:r>
      <w:r>
        <w:rPr>
          <w:rFonts w:ascii="Arial" w:hAnsi="Arial" w:cs="Arial"/>
          <w:sz w:val="24"/>
          <w:szCs w:val="24"/>
        </w:rPr>
        <w:t xml:space="preserve"> and</w:t>
      </w:r>
      <w:r w:rsidR="00BF6088">
        <w:rPr>
          <w:rFonts w:ascii="Arial" w:hAnsi="Arial" w:cs="Arial"/>
          <w:sz w:val="24"/>
          <w:szCs w:val="24"/>
        </w:rPr>
        <w:t xml:space="preserve"> (iii) </w:t>
      </w:r>
      <w:r>
        <w:rPr>
          <w:rFonts w:ascii="Arial" w:hAnsi="Arial" w:cs="Arial"/>
          <w:sz w:val="24"/>
          <w:szCs w:val="24"/>
        </w:rPr>
        <w:t xml:space="preserve">both primary and secondary conductor.  From this data, the average price per property unit was used to calculate the investment for each category.  The investment for poles with primary and secondary was split </w:t>
      </w:r>
      <w:r w:rsidR="009156D1">
        <w:rPr>
          <w:rFonts w:ascii="Arial" w:hAnsi="Arial" w:cs="Arial"/>
          <w:sz w:val="24"/>
          <w:szCs w:val="24"/>
        </w:rPr>
        <w:t>proportionately</w:t>
      </w:r>
      <w:r>
        <w:rPr>
          <w:rFonts w:ascii="Arial" w:hAnsi="Arial" w:cs="Arial"/>
          <w:sz w:val="24"/>
          <w:szCs w:val="24"/>
        </w:rPr>
        <w:t xml:space="preserve"> between </w:t>
      </w:r>
      <w:r w:rsidR="009156D1">
        <w:rPr>
          <w:rFonts w:ascii="Arial" w:hAnsi="Arial" w:cs="Arial"/>
          <w:sz w:val="24"/>
          <w:szCs w:val="24"/>
        </w:rPr>
        <w:t>primary</w:t>
      </w:r>
      <w:r>
        <w:rPr>
          <w:rFonts w:ascii="Arial" w:hAnsi="Arial" w:cs="Arial"/>
          <w:sz w:val="24"/>
          <w:szCs w:val="24"/>
        </w:rPr>
        <w:t xml:space="preserve"> and secondary.  </w:t>
      </w:r>
    </w:p>
    <w:p w:rsidR="00B52AB2" w:rsidP="00B52AB2" w:rsidRDefault="00B52AB2" w14:paraId="5CA0E723" w14:textId="77777777">
      <w:pPr>
        <w:pStyle w:val="ListParagraph"/>
        <w:ind w:left="1440"/>
        <w:rPr>
          <w:rFonts w:ascii="Arial" w:hAnsi="Arial" w:cs="Arial"/>
          <w:sz w:val="24"/>
          <w:szCs w:val="24"/>
        </w:rPr>
      </w:pPr>
      <w:r>
        <w:rPr>
          <w:rFonts w:ascii="Arial" w:hAnsi="Arial" w:cs="Arial"/>
          <w:sz w:val="24"/>
          <w:szCs w:val="24"/>
          <w:u w:val="single"/>
        </w:rPr>
        <w:lastRenderedPageBreak/>
        <w:t xml:space="preserve">Account 365, Overhead Conductors and Devices </w:t>
      </w:r>
      <w:r>
        <w:rPr>
          <w:rFonts w:ascii="Arial" w:hAnsi="Arial" w:cs="Arial"/>
          <w:sz w:val="24"/>
          <w:szCs w:val="24"/>
        </w:rPr>
        <w:t xml:space="preserve">– The property units and vintage of conductors </w:t>
      </w:r>
      <w:r w:rsidR="009156D1">
        <w:rPr>
          <w:rFonts w:ascii="Arial" w:hAnsi="Arial" w:cs="Arial"/>
          <w:sz w:val="24"/>
          <w:szCs w:val="24"/>
        </w:rPr>
        <w:t>were</w:t>
      </w:r>
      <w:r>
        <w:rPr>
          <w:rFonts w:ascii="Arial" w:hAnsi="Arial" w:cs="Arial"/>
          <w:sz w:val="24"/>
          <w:szCs w:val="24"/>
        </w:rPr>
        <w:t xml:space="preserve"> identified for four categories:  primary, secondary, neutral, and devices.  From this data, the average price per property unit was used to calculate the amount of investment for </w:t>
      </w:r>
      <w:r w:rsidR="009156D1">
        <w:rPr>
          <w:rFonts w:ascii="Arial" w:hAnsi="Arial" w:cs="Arial"/>
          <w:sz w:val="24"/>
          <w:szCs w:val="24"/>
        </w:rPr>
        <w:t>each</w:t>
      </w:r>
      <w:r>
        <w:rPr>
          <w:rFonts w:ascii="Arial" w:hAnsi="Arial" w:cs="Arial"/>
          <w:sz w:val="24"/>
          <w:szCs w:val="24"/>
        </w:rPr>
        <w:t xml:space="preserve"> category. Switching devices were determined to be primary related.</w:t>
      </w:r>
    </w:p>
    <w:p w:rsidR="00B52AB2" w:rsidP="00B52AB2" w:rsidRDefault="00B52AB2" w14:paraId="23D015C3" w14:textId="77777777">
      <w:pPr>
        <w:pStyle w:val="ListParagraph"/>
        <w:ind w:left="1440"/>
        <w:rPr>
          <w:rFonts w:ascii="Arial" w:hAnsi="Arial" w:cs="Arial"/>
          <w:sz w:val="24"/>
          <w:szCs w:val="24"/>
        </w:rPr>
      </w:pPr>
      <w:r>
        <w:rPr>
          <w:rFonts w:ascii="Arial" w:hAnsi="Arial" w:cs="Arial"/>
          <w:sz w:val="24"/>
          <w:szCs w:val="24"/>
          <w:u w:val="single"/>
        </w:rPr>
        <w:t>Account</w:t>
      </w:r>
      <w:r w:rsidR="00CE3106">
        <w:rPr>
          <w:rFonts w:ascii="Arial" w:hAnsi="Arial" w:cs="Arial"/>
          <w:sz w:val="24"/>
          <w:szCs w:val="24"/>
          <w:u w:val="single"/>
        </w:rPr>
        <w:t xml:space="preserve"> </w:t>
      </w:r>
      <w:r>
        <w:rPr>
          <w:rFonts w:ascii="Arial" w:hAnsi="Arial" w:cs="Arial"/>
          <w:sz w:val="24"/>
          <w:szCs w:val="24"/>
          <w:u w:val="single"/>
        </w:rPr>
        <w:t xml:space="preserve">366, Underground Conduits </w:t>
      </w:r>
      <w:r w:rsidR="008007F1">
        <w:rPr>
          <w:rFonts w:ascii="Arial" w:hAnsi="Arial" w:cs="Arial"/>
          <w:sz w:val="24"/>
          <w:szCs w:val="24"/>
        </w:rPr>
        <w:t>–</w:t>
      </w:r>
      <w:r>
        <w:rPr>
          <w:rFonts w:ascii="Arial" w:hAnsi="Arial" w:cs="Arial"/>
          <w:sz w:val="24"/>
          <w:szCs w:val="24"/>
        </w:rPr>
        <w:t xml:space="preserve"> </w:t>
      </w:r>
      <w:r w:rsidR="008007F1">
        <w:rPr>
          <w:rFonts w:ascii="Arial" w:hAnsi="Arial" w:cs="Arial"/>
          <w:sz w:val="24"/>
          <w:szCs w:val="24"/>
        </w:rPr>
        <w:t xml:space="preserve">Investment in account 366 was divided into seven categories:  conduit, network manholes, other </w:t>
      </w:r>
      <w:r w:rsidR="009156D1">
        <w:rPr>
          <w:rFonts w:ascii="Arial" w:hAnsi="Arial" w:cs="Arial"/>
          <w:sz w:val="24"/>
          <w:szCs w:val="24"/>
        </w:rPr>
        <w:t>manholes</w:t>
      </w:r>
      <w:r w:rsidR="008007F1">
        <w:rPr>
          <w:rFonts w:ascii="Arial" w:hAnsi="Arial" w:cs="Arial"/>
          <w:sz w:val="24"/>
          <w:szCs w:val="24"/>
        </w:rPr>
        <w:t>, pa</w:t>
      </w:r>
      <w:r w:rsidR="00BF6088">
        <w:rPr>
          <w:rFonts w:ascii="Arial" w:hAnsi="Arial" w:cs="Arial"/>
          <w:sz w:val="24"/>
          <w:szCs w:val="24"/>
        </w:rPr>
        <w:t>d</w:t>
      </w:r>
      <w:r w:rsidR="008007F1">
        <w:rPr>
          <w:rFonts w:ascii="Arial" w:hAnsi="Arial" w:cs="Arial"/>
          <w:sz w:val="24"/>
          <w:szCs w:val="24"/>
        </w:rPr>
        <w:t xml:space="preserve">s, primary box, secondary box, and vaults.  The percentage of primary and secondary investment for account 367 was applied to the investment in conduits and vaults.  Network manholes were considered to be secondary and other manholes were categorized as being </w:t>
      </w:r>
      <w:r w:rsidR="009156D1">
        <w:rPr>
          <w:rFonts w:ascii="Arial" w:hAnsi="Arial" w:cs="Arial"/>
          <w:sz w:val="24"/>
          <w:szCs w:val="24"/>
        </w:rPr>
        <w:t>primary</w:t>
      </w:r>
      <w:r w:rsidR="008007F1">
        <w:rPr>
          <w:rFonts w:ascii="Arial" w:hAnsi="Arial" w:cs="Arial"/>
          <w:sz w:val="24"/>
          <w:szCs w:val="24"/>
        </w:rPr>
        <w:t>. Pads were categorized as secondary.  The primary box investment was included as primary related, and the secondary box was categorized as secondary related.</w:t>
      </w:r>
    </w:p>
    <w:p w:rsidR="008007F1" w:rsidP="00B52AB2" w:rsidRDefault="008007F1" w14:paraId="00DFB0D6" w14:textId="77777777">
      <w:pPr>
        <w:pStyle w:val="ListParagraph"/>
        <w:ind w:left="1440"/>
        <w:rPr>
          <w:rFonts w:ascii="Arial" w:hAnsi="Arial" w:cs="Arial"/>
          <w:sz w:val="24"/>
          <w:szCs w:val="24"/>
        </w:rPr>
      </w:pPr>
      <w:r>
        <w:rPr>
          <w:rFonts w:ascii="Arial" w:hAnsi="Arial" w:cs="Arial"/>
          <w:sz w:val="24"/>
          <w:szCs w:val="24"/>
          <w:u w:val="single"/>
        </w:rPr>
        <w:t xml:space="preserve">Account 367, Underground Conductors and Devices </w:t>
      </w:r>
      <w:r>
        <w:rPr>
          <w:rFonts w:ascii="Arial" w:hAnsi="Arial" w:cs="Arial"/>
          <w:sz w:val="24"/>
          <w:szCs w:val="24"/>
        </w:rPr>
        <w:t>– The property units and vintage of underground conductors were identified as belonging to four categories:  primary, secondary, devices, and network.  From this data, the average price per property unit was used to calculate the investment of each category.  Devices such as switchgear were identified as being primary related.  Network investment was categorized as being secondary related.</w:t>
      </w:r>
    </w:p>
    <w:p w:rsidR="008007F1" w:rsidP="00B52AB2" w:rsidRDefault="008007F1" w14:paraId="208FB0CD" w14:textId="77777777">
      <w:pPr>
        <w:pStyle w:val="ListParagraph"/>
        <w:ind w:left="1440"/>
        <w:rPr>
          <w:rFonts w:ascii="Arial" w:hAnsi="Arial" w:cs="Arial"/>
          <w:sz w:val="24"/>
          <w:szCs w:val="24"/>
        </w:rPr>
      </w:pPr>
      <w:r>
        <w:rPr>
          <w:rFonts w:ascii="Arial" w:hAnsi="Arial" w:cs="Arial"/>
          <w:sz w:val="24"/>
          <w:szCs w:val="24"/>
          <w:u w:val="single"/>
        </w:rPr>
        <w:t xml:space="preserve">Account 368, Line Transformers </w:t>
      </w:r>
      <w:r>
        <w:rPr>
          <w:rFonts w:ascii="Arial" w:hAnsi="Arial" w:cs="Arial"/>
          <w:sz w:val="24"/>
          <w:szCs w:val="24"/>
        </w:rPr>
        <w:t>– The investment in account 368 was divided into four categories:  autotransformers, regulators, capacitors and other transformers.  Autotransformers and regulators are related to primary service, and all other transformers are related to secondary service.  Capacitors provide support for the entire delivery system and are, therefore, allocated to all voltages.</w:t>
      </w:r>
    </w:p>
    <w:p w:rsidR="008007F1" w:rsidP="008007F1" w:rsidRDefault="008007F1" w14:paraId="437E5EA6" w14:textId="01E10D44">
      <w:pPr>
        <w:pStyle w:val="ListParagraph"/>
        <w:numPr>
          <w:ilvl w:val="0"/>
          <w:numId w:val="2"/>
        </w:numPr>
        <w:rPr>
          <w:rFonts w:ascii="Arial" w:hAnsi="Arial" w:cs="Arial"/>
          <w:sz w:val="24"/>
          <w:szCs w:val="24"/>
        </w:rPr>
      </w:pPr>
      <w:r>
        <w:rPr>
          <w:rFonts w:ascii="Arial" w:hAnsi="Arial" w:cs="Arial"/>
          <w:sz w:val="24"/>
          <w:szCs w:val="24"/>
        </w:rPr>
        <w:t>Supporting documentation for customer related allocation factors is provided in workpapers WP/II-</w:t>
      </w:r>
      <w:r w:rsidR="00CE3106">
        <w:rPr>
          <w:rFonts w:ascii="Arial" w:hAnsi="Arial" w:cs="Arial"/>
          <w:sz w:val="24"/>
          <w:szCs w:val="24"/>
        </w:rPr>
        <w:t>I</w:t>
      </w:r>
      <w:r>
        <w:rPr>
          <w:rFonts w:ascii="Arial" w:hAnsi="Arial" w:cs="Arial"/>
          <w:sz w:val="24"/>
          <w:szCs w:val="24"/>
        </w:rPr>
        <w:t xml:space="preserve">-2.2 and WP/II-I-2.5.  Supporting documentation for demand allocation factors is provided in WP/II-I-2.2 which employs adjusted class demand data from Schedule II-H-1.4, Adjusted Test-Year Load Data.  Supporting documentation for energy allocation factor 19, ENERGY ICL, is </w:t>
      </w:r>
      <w:r>
        <w:rPr>
          <w:rFonts w:ascii="Arial" w:hAnsi="Arial" w:cs="Arial"/>
          <w:sz w:val="24"/>
          <w:szCs w:val="24"/>
        </w:rPr>
        <w:lastRenderedPageBreak/>
        <w:t xml:space="preserve">provided on workpapers WP/II-I-1.2.2, WP/II-I-2.3 and WP/II-I-2.5.  Internally developed allocation factors are derived from the summation of previously allocated cost items on pages </w:t>
      </w:r>
      <w:r w:rsidR="00C72141">
        <w:rPr>
          <w:rFonts w:ascii="Arial" w:hAnsi="Arial" w:cs="Arial"/>
          <w:sz w:val="24"/>
          <w:szCs w:val="24"/>
        </w:rPr>
        <w:t>71</w:t>
      </w:r>
      <w:r>
        <w:rPr>
          <w:rFonts w:ascii="Arial" w:hAnsi="Arial" w:cs="Arial"/>
          <w:sz w:val="24"/>
          <w:szCs w:val="24"/>
        </w:rPr>
        <w:t xml:space="preserve"> through 7</w:t>
      </w:r>
      <w:r w:rsidR="00C72141">
        <w:rPr>
          <w:rFonts w:ascii="Arial" w:hAnsi="Arial" w:cs="Arial"/>
          <w:sz w:val="24"/>
          <w:szCs w:val="24"/>
        </w:rPr>
        <w:t>6</w:t>
      </w:r>
      <w:r>
        <w:rPr>
          <w:rFonts w:ascii="Arial" w:hAnsi="Arial" w:cs="Arial"/>
          <w:sz w:val="24"/>
          <w:szCs w:val="24"/>
        </w:rPr>
        <w:t xml:space="preserve"> of Schedules II-I-DIST, II-I-MET and II-I-TBILLTDCS.</w:t>
      </w:r>
    </w:p>
    <w:p w:rsidRPr="008F00FB" w:rsidR="008007F1" w:rsidP="008007F1" w:rsidRDefault="009156D1" w14:paraId="6201D1CB" w14:textId="77777777">
      <w:pPr>
        <w:pStyle w:val="ListParagraph"/>
        <w:numPr>
          <w:ilvl w:val="0"/>
          <w:numId w:val="2"/>
        </w:numPr>
        <w:rPr>
          <w:rFonts w:ascii="Arial" w:hAnsi="Arial" w:cs="Arial"/>
          <w:sz w:val="24"/>
          <w:szCs w:val="24"/>
        </w:rPr>
      </w:pPr>
      <w:r w:rsidRPr="00CF12E4">
        <w:rPr>
          <w:rFonts w:ascii="Arial" w:hAnsi="Arial" w:cs="Arial"/>
          <w:sz w:val="24"/>
          <w:szCs w:val="24"/>
        </w:rPr>
        <w:t>Oncor’s allocation of account 370, Meters, employs allocation factors that weigh</w:t>
      </w:r>
      <w:r w:rsidRPr="00CF12E4" w:rsidR="00BF6088">
        <w:rPr>
          <w:rFonts w:ascii="Arial" w:hAnsi="Arial" w:cs="Arial"/>
          <w:sz w:val="24"/>
          <w:szCs w:val="24"/>
        </w:rPr>
        <w:t xml:space="preserve">t </w:t>
      </w:r>
      <w:r w:rsidRPr="00CF12E4">
        <w:rPr>
          <w:rFonts w:ascii="Arial" w:hAnsi="Arial" w:cs="Arial"/>
          <w:sz w:val="24"/>
          <w:szCs w:val="24"/>
        </w:rPr>
        <w:t xml:space="preserve">the test year-end number of customers by the costs of meters serving each customer class.  The weighted meter allocation factors are set forth on workpaper WP/II-I-2.2 and are derived on WP/II-I-2.5.  </w:t>
      </w:r>
    </w:p>
    <w:sectPr w:rsidRPr="008F00FB" w:rsidR="008007F1" w:rsidSect="00A24704">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F6088" w:rsidP="00130082" w:rsidRDefault="00BF6088" w14:paraId="7A5094E1" w14:textId="77777777">
      <w:pPr>
        <w:spacing w:after="0" w:line="240" w:lineRule="auto"/>
      </w:pPr>
      <w:r>
        <w:separator/>
      </w:r>
    </w:p>
  </w:endnote>
  <w:endnote w:type="continuationSeparator" w:id="0">
    <w:p w:rsidR="00BF6088" w:rsidP="00130082" w:rsidRDefault="00BF6088" w14:paraId="5A9F97F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A0CD0" w:rsidRDefault="006A0CD0" w14:paraId="0581E98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6088" w:rsidRDefault="00BF6088" w14:paraId="1A3BB228" w14:textId="77777777">
    <w:pPr>
      <w:pStyle w:val="Footer"/>
      <w:jc w:val="right"/>
    </w:pPr>
  </w:p>
  <w:p w:rsidR="00BF6088" w:rsidRDefault="00BF6088" w14:paraId="7F2E7A59"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A0CD0" w:rsidRDefault="006A0CD0" w14:paraId="23BB10E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F6088" w:rsidP="00130082" w:rsidRDefault="00BF6088" w14:paraId="7ADA45D7" w14:textId="77777777">
      <w:pPr>
        <w:spacing w:after="0" w:line="240" w:lineRule="auto"/>
      </w:pPr>
      <w:r>
        <w:separator/>
      </w:r>
    </w:p>
  </w:footnote>
  <w:footnote w:type="continuationSeparator" w:id="0">
    <w:p w:rsidR="00BF6088" w:rsidP="00130082" w:rsidRDefault="00BF6088" w14:paraId="4319509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A0CD0" w:rsidRDefault="006A0CD0" w14:paraId="7D9F54A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6088" w:rsidRDefault="00BF6088" w14:paraId="7C70A26B" w14:textId="77777777">
    <w:pPr>
      <w:pStyle w:val="Header"/>
      <w:jc w:val="right"/>
    </w:pPr>
    <w:r>
      <w:t>Schedule II-I-2</w:t>
    </w:r>
  </w:p>
  <w:sdt>
    <w:sdtPr>
      <w:id w:val="1477648756"/>
      <w:docPartObj>
        <w:docPartGallery w:val="Page Numbers (Top of Page)"/>
        <w:docPartUnique/>
      </w:docPartObj>
    </w:sdtPr>
    <w:sdtEndPr/>
    <w:sdtContent>
      <w:p w:rsidR="00BF6088" w:rsidRDefault="00BF6088" w14:paraId="0813D73D" w14:textId="77777777">
        <w:pPr>
          <w:pStyle w:val="Head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sidR="00A24704">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24704">
          <w:rPr>
            <w:b/>
            <w:bCs/>
            <w:noProof/>
          </w:rPr>
          <w:t>4</w:t>
        </w:r>
        <w:r>
          <w:rPr>
            <w:b/>
            <w:bCs/>
            <w:sz w:val="24"/>
            <w:szCs w:val="24"/>
          </w:rPr>
          <w:fldChar w:fldCharType="end"/>
        </w:r>
      </w:p>
      <w:p w:rsidR="00BF6088" w:rsidRDefault="00BF6088" w14:paraId="7C34F614" w14:textId="77777777">
        <w:pPr>
          <w:pStyle w:val="Header"/>
          <w:jc w:val="right"/>
          <w:rPr>
            <w:b/>
            <w:bCs/>
            <w:sz w:val="24"/>
            <w:szCs w:val="24"/>
          </w:rPr>
        </w:pPr>
      </w:p>
      <w:p w:rsidR="00BF6088" w:rsidP="00B97687" w:rsidRDefault="00BF6088" w14:paraId="16D162F1" w14:textId="31DDEE28">
        <w:pPr>
          <w:pStyle w:val="Header"/>
          <w:jc w:val="center"/>
          <w:rPr>
            <w:b/>
            <w:bCs/>
            <w:sz w:val="24"/>
            <w:szCs w:val="24"/>
          </w:rPr>
        </w:pPr>
        <w:r>
          <w:rPr>
            <w:b/>
            <w:bCs/>
            <w:sz w:val="24"/>
            <w:szCs w:val="24"/>
          </w:rPr>
          <w:t>20</w:t>
        </w:r>
        <w:r w:rsidR="00D575F4">
          <w:rPr>
            <w:b/>
            <w:bCs/>
            <w:sz w:val="24"/>
            <w:szCs w:val="24"/>
          </w:rPr>
          <w:t>2</w:t>
        </w:r>
        <w:r w:rsidR="006A0CD0">
          <w:rPr>
            <w:b/>
            <w:bCs/>
            <w:sz w:val="24"/>
            <w:szCs w:val="24"/>
          </w:rPr>
          <w:t>5</w:t>
        </w:r>
        <w:r>
          <w:rPr>
            <w:b/>
            <w:bCs/>
            <w:sz w:val="24"/>
            <w:szCs w:val="24"/>
          </w:rPr>
          <w:t xml:space="preserve"> RATE CASE</w:t>
        </w:r>
      </w:p>
      <w:p w:rsidR="00BF6088" w:rsidP="00B97687" w:rsidRDefault="00BF6088" w14:paraId="79CD6CD2" w14:textId="77777777">
        <w:pPr>
          <w:pStyle w:val="Header"/>
          <w:jc w:val="center"/>
          <w:rPr>
            <w:b/>
            <w:bCs/>
            <w:sz w:val="24"/>
            <w:szCs w:val="24"/>
          </w:rPr>
        </w:pPr>
        <w:r>
          <w:rPr>
            <w:b/>
            <w:bCs/>
            <w:sz w:val="24"/>
            <w:szCs w:val="24"/>
          </w:rPr>
          <w:t>ONCOR ELECTRIC DELIVERY COMPANY LLC</w:t>
        </w:r>
      </w:p>
      <w:p w:rsidR="00BF6088" w:rsidP="00B97687" w:rsidRDefault="00BF6088" w14:paraId="58D4BA1C" w14:textId="77777777">
        <w:pPr>
          <w:pStyle w:val="Header"/>
          <w:jc w:val="center"/>
          <w:rPr>
            <w:b/>
            <w:bCs/>
            <w:sz w:val="24"/>
            <w:szCs w:val="24"/>
          </w:rPr>
        </w:pPr>
        <w:r>
          <w:rPr>
            <w:b/>
            <w:bCs/>
            <w:sz w:val="24"/>
            <w:szCs w:val="24"/>
          </w:rPr>
          <w:t>II-I-2:  CLASS ALLOCATION FACTORS</w:t>
        </w:r>
      </w:p>
      <w:p w:rsidR="00BF6088" w:rsidP="00B97687" w:rsidRDefault="00BF6088" w14:paraId="73F4ADE5" w14:textId="62C7C692">
        <w:pPr>
          <w:pStyle w:val="Header"/>
          <w:jc w:val="center"/>
          <w:rPr>
            <w:b/>
            <w:bCs/>
            <w:sz w:val="24"/>
            <w:szCs w:val="24"/>
          </w:rPr>
        </w:pPr>
        <w:r>
          <w:rPr>
            <w:b/>
            <w:bCs/>
            <w:sz w:val="24"/>
            <w:szCs w:val="24"/>
          </w:rPr>
          <w:t>TEST YEAR ENDING 12/31/20</w:t>
        </w:r>
        <w:r w:rsidR="00D575F4">
          <w:rPr>
            <w:b/>
            <w:bCs/>
            <w:sz w:val="24"/>
            <w:szCs w:val="24"/>
          </w:rPr>
          <w:t>2</w:t>
        </w:r>
        <w:r w:rsidR="006A0CD0">
          <w:rPr>
            <w:b/>
            <w:bCs/>
            <w:sz w:val="24"/>
            <w:szCs w:val="24"/>
          </w:rPr>
          <w:t>4</w:t>
        </w:r>
      </w:p>
      <w:p w:rsidR="00BF6088" w:rsidP="00B97687" w:rsidRDefault="00BF6088" w14:paraId="0CC00F59" w14:textId="77777777">
        <w:pPr>
          <w:pStyle w:val="Header"/>
          <w:jc w:val="center"/>
        </w:pPr>
        <w:r>
          <w:rPr>
            <w:b/>
            <w:bCs/>
            <w:sz w:val="24"/>
            <w:szCs w:val="24"/>
          </w:rPr>
          <w:t xml:space="preserve">SPONSOR:  </w:t>
        </w:r>
        <w:r w:rsidR="00D575F4">
          <w:rPr>
            <w:b/>
            <w:bCs/>
            <w:sz w:val="24"/>
            <w:szCs w:val="24"/>
          </w:rPr>
          <w:t>MATTHEW A. TROXLE</w:t>
        </w:r>
      </w:p>
    </w:sdtContent>
  </w:sdt>
  <w:p w:rsidR="00BF6088" w:rsidRDefault="00BF6088" w14:paraId="3F198533"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A0CD0" w:rsidRDefault="006A0CD0" w14:paraId="56EF7EA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5B84"/>
    <w:multiLevelType w:val="hybridMultilevel"/>
    <w:tmpl w:val="AD784316"/>
    <w:lvl w:ilvl="0" w:tplc="FD44DA2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4A695123"/>
    <w:multiLevelType w:val="hybridMultilevel"/>
    <w:tmpl w:val="B48CF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7D5A8B"/>
    <w:multiLevelType w:val="hybridMultilevel"/>
    <w:tmpl w:val="66CC1248"/>
    <w:lvl w:ilvl="0" w:tplc="2E9463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082"/>
    <w:rsid w:val="00127057"/>
    <w:rsid w:val="00130082"/>
    <w:rsid w:val="001F2DE8"/>
    <w:rsid w:val="006A0CD0"/>
    <w:rsid w:val="006C5ADA"/>
    <w:rsid w:val="008007F1"/>
    <w:rsid w:val="008F00FB"/>
    <w:rsid w:val="009156D1"/>
    <w:rsid w:val="009600E3"/>
    <w:rsid w:val="00A24704"/>
    <w:rsid w:val="00A35CB8"/>
    <w:rsid w:val="00B52AB2"/>
    <w:rsid w:val="00B75504"/>
    <w:rsid w:val="00B97687"/>
    <w:rsid w:val="00BF6088"/>
    <w:rsid w:val="00C72141"/>
    <w:rsid w:val="00CE3106"/>
    <w:rsid w:val="00CF12E4"/>
    <w:rsid w:val="00D575F4"/>
    <w:rsid w:val="00DB6B86"/>
    <w:rsid w:val="00FA5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382D5CAA"/>
  <w15:docId w15:val="{60EF113E-D79A-40E2-887F-78FFD405B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130082"/>
    <w:pPr>
      <w:tabs>
        <w:tab w:val="center" w:pos="4680"/>
        <w:tab w:val="right" w:pos="9360"/>
      </w:tabs>
      <w:spacing w:after="0" w:line="240" w:lineRule="auto"/>
    </w:pPr>
  </w:style>
  <w:style w:type="character" w:styleId="HeaderChar" w:customStyle="1">
    <w:name w:val="Header Char"/>
    <w:basedOn w:val="DefaultParagraphFont"/>
    <w:link w:val="Header"/>
    <w:uiPriority w:val="99"/>
    <w:rsid w:val="00130082"/>
  </w:style>
  <w:style w:type="paragraph" w:styleId="Footer">
    <w:name w:val="footer"/>
    <w:basedOn w:val="Normal"/>
    <w:link w:val="FooterChar"/>
    <w:uiPriority w:val="99"/>
    <w:unhideWhenUsed/>
    <w:rsid w:val="00130082"/>
    <w:pPr>
      <w:tabs>
        <w:tab w:val="center" w:pos="4680"/>
        <w:tab w:val="right" w:pos="9360"/>
      </w:tabs>
      <w:spacing w:after="0" w:line="240" w:lineRule="auto"/>
    </w:pPr>
  </w:style>
  <w:style w:type="character" w:styleId="FooterChar" w:customStyle="1">
    <w:name w:val="Footer Char"/>
    <w:basedOn w:val="DefaultParagraphFont"/>
    <w:link w:val="Footer"/>
    <w:uiPriority w:val="99"/>
    <w:rsid w:val="00130082"/>
  </w:style>
  <w:style w:type="paragraph" w:styleId="ListParagraph">
    <w:name w:val="List Paragraph"/>
    <w:basedOn w:val="Normal"/>
    <w:uiPriority w:val="34"/>
    <w:qFormat/>
    <w:rsid w:val="00B97687"/>
    <w:pPr>
      <w:ind w:left="720"/>
      <w:contextualSpacing/>
    </w:pPr>
  </w:style>
  <w:style w:type="paragraph" w:styleId="BalloonText">
    <w:name w:val="Balloon Text"/>
    <w:basedOn w:val="Normal"/>
    <w:link w:val="BalloonTextChar"/>
    <w:uiPriority w:val="99"/>
    <w:semiHidden/>
    <w:unhideWhenUsed/>
    <w:rsid w:val="00CE310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E310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numbering" Target="numbering.xml" Id="rId2"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file>

<file path=docProps/core.xml><?xml version="1.0" encoding="utf-8"?>
<coreProperties xmlns:dc="http://purl.org/dc/elements/1.1/" xmlns:dcterms="http://purl.org/dc/terms/" xmlns:xsi="http://www.w3.org/2001/XMLSchema-instance" xmlns="http://schemas.openxmlformats.org/package/2006/metadata/core-properties">
  <lastPrinted>1900-01-01T06:00:00.0000000Z</lastPrinted>
  <dcterms:created xsi:type="dcterms:W3CDTF">1900-01-01T06:00:00.0000000Z</dcterms:created>
  <dcterms:modified xsi:type="dcterms:W3CDTF">2025-05-05T18:23:00.0000000Z</dcterms:modified>
</coreProperties>
</file>