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00467F"/>
          <w:sz w:val="48"/>
        </w:rPr>
        <w:t>METIS — McKinsey Strategic Analysis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8"/>
        </w:rPr>
        <w:t>NanoBanana Pro: Posizionamento, Funzionalità &amp; Competitor</w:t>
      </w:r>
    </w:p>
    <w:p/>
    <w:p>
      <w:pPr>
        <w:jc w:val="center"/>
      </w:pPr>
      <w:r>
        <w:rPr>
          <w:rFonts w:ascii="Calibri" w:hAnsi="Calibri"/>
          <w:b w:val="0"/>
          <w:i w:val="0"/>
          <w:color w:val="808080"/>
          <w:sz w:val="22"/>
        </w:rPr>
        <w:t>Marzo 2026  |  Confidenziale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Metis è un motore AI Glass-Box per il credit underwriting di PMI italiane. Sostituisce un processo manuale da 6–9 ore con un'analisi completa in meno di 30 secondi, mantenendo piena compliance con l'EU AI Act e tracciabilità XAI (eXplainable AI) su ogni output.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NanoBanana Pro rappresenta il profilo-tipo del cliente Metis: una PMI italiana con bilancio XBRL, storico in Centrale Rischi e necessità di accedere rapidamente al credito bancario.</w:t>
      </w:r>
    </w:p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2. Posizionamento nel Mercato — Mappa 2×2 McKinsey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Metis si colloca nel quadrante "Automated + Explainable" — il segmento meno affollato, più difendibile e allineato alle direttive EU AI Act (obbligatorie dal 2026).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 quattro quadranti del mercato AI credit underwriting: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Alta Explainability + Processo Automatizzato → METIS  ✅ (quadrante target)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Alta Explainability + Processo Manuale → FICO Platform, Experian PowerCurve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Bassa Explainability + Processo Automatizzato → Zest AI, Scienaptic AI, ACTICO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Bassa Explainability + Processo Manuale → Processi bancari tradizionali</w:t>
      </w:r>
    </w:p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3. Funzionalità Chiave — 8 Moduli 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Cosa fa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Differenziatore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Narrative PEF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Genera testo analitico con link alle fonti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XAI source tracing — ogni frase è auditabile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Web Sentiment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Crawling live + NLP keyword scoring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Nowcasting reputazionale real-time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Financial KPIs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DSCR, EBITDA, Altman Z-Score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Math deterministico (no LLM) = 100% affidabile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ATECO Benchmark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Confronto con medie ISTAT di settore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Contesto settoriale per le banche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M5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CR Pattern 12M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Trend utilizzo Centrale Rischi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Sparkline 12 mesi — anomalie visibili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Cross-Check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Mismatch Bilancio vs CR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Semaforo automatico per frodi documentali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M7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DSCR Forecast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Proiezione prospettica del debito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Forward-looking — raro tra i competitor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SWOT Matrix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Generazione automatica 2×2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Sintesi executive per il credit committee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/>
          <w:sz w:val="22"/>
        </w:rPr>
        <w:t>+ Visual Policy Builder: configurazione drag &amp; drop del flusso decisionale (no-code) — unico nel segmento bancario italiano.</w:t>
      </w:r>
    </w:p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4. Landscape Competitivo</w:t>
      </w:r>
    </w:p>
    <w:p>
      <w:pPr>
        <w:spacing w:before="240" w:after="80"/>
      </w:pPr>
      <w:r>
        <w:rPr>
          <w:rFonts w:ascii="Calibri" w:hAnsi="Calibri"/>
          <w:b/>
          <w:i w:val="0"/>
          <w:color w:val="1F497D"/>
          <w:sz w:val="26"/>
        </w:rPr>
        <w:t>4a. Competitor Diretti (Credit Underwriting 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Player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Sede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Explainability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EU AI Act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Gap vs Metis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ACTICO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🇩🇪 Germania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Parziale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Non dichiarato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No Visual Policy Builder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Zest AI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🇺🇸 USA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Moderata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Non conforme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 integrazione PEF italiano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Scienaptic AI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🇺🇸 USA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Non conforme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Black-box, no XAI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Experian PowerCurve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🇬🇧 UK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Parziale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Parziale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Prodotto generico, non verticale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FICO Platform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🇺🇸 USA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Parziale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Costoso, non adatto a banche medie 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RocketFin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🇮🇹 Italia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Moderata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Parziale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Nessuna integrazione CR/XBRL nativa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Axe Credit Portal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🇧🇪 Belgio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Parziale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sz w:val="20"/>
              </w:rPr>
              <w:t>No agentic AI swarm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F497D"/>
          <w:sz w:val="26"/>
        </w:rPr>
        <w:t>4b. Competitor Indiretti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Player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Livello di Minaccia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Cerved (Analytics)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Fornisce i dati, potrebbe verticalizzare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TeamSystem / Zucchetti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Già nel workflow bancario IT, potrebbero aggiungere AI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Qonto / Finom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Focus lending diretto, non B2B verso banche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Banche in-house (Intesa, UCG)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Alcune banche stanno buildando internamente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5. Unique Selling Proposition (USP)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Metis è l'unico sistema che è contemporaneamente: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✅  Glass-Box (XAI su ogni output)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✅  Verticale sul mercato bancario italiano (PEF, CR, XBRL)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✅  EU AI Act compliant (human-in-the-loop obbligatorio)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✅  No-code configurabile (Visual Policy Builder)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✅  Agentic multi-agent (&lt;30 secondi per pratica completa)</w:t>
      </w:r>
    </w:p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6. Market Sizing — TAM / SAM / SOM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Livello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Definizione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Stima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TAM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Mercato globale AI credit decisioning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~$12B (2025) → $38B (2030)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Banche &amp; istituti finanziari in Europa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~$2.4B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SOM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Banche medie-piccole italiane (target)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~€120M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2"/>
        </w:rPr>
        <w:t>🎯 Target immediato: ~500 banche e istituti di credito in Italia con portafoglio PMI &gt;€100M</w:t>
      </w:r>
    </w:p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7. Raccomandazioni Strategiche</w:t>
      </w:r>
    </w:p>
    <w:p>
      <w:pPr>
        <w:spacing w:before="240" w:after="80"/>
      </w:pPr>
      <w:r>
        <w:rPr>
          <w:rFonts w:ascii="Calibri" w:hAnsi="Calibri"/>
          <w:b/>
          <w:i w:val="0"/>
          <w:color w:val="1F497D"/>
          <w:sz w:val="26"/>
        </w:rPr>
        <w:t>A. Go-to-Market (Priorità Alta)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Canale primario: Partnership con i principali CBS italiani — Temenos, CEDACRI, CSE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Entry point: Pilota gratuito con 2–3 banche regionali (BCC, Casse Rurali) → poi espansione</w:t>
      </w:r>
    </w:p>
    <w:p>
      <w:pPr>
        <w:spacing w:before="240" w:after="80"/>
      </w:pPr>
      <w:r>
        <w:rPr>
          <w:rFonts w:ascii="Calibri" w:hAnsi="Calibri"/>
          <w:b/>
          <w:i w:val="0"/>
          <w:color w:val="1F497D"/>
          <w:sz w:val="26"/>
        </w:rPr>
        <w:t>B. Posizionamento (Priorità Alta)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Comunicare "EU AI Act First" come vantaggio competitivo — dal 2026 sarà un obbligo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Naming: consolidare "METIS ACE" (Analisi Complementare Evoluta) come brand B2B</w:t>
      </w:r>
    </w:p>
    <w:p>
      <w:pPr>
        <w:spacing w:before="240" w:after="80"/>
      </w:pPr>
      <w:r>
        <w:rPr>
          <w:rFonts w:ascii="Calibri" w:hAnsi="Calibri"/>
          <w:b/>
          <w:i w:val="0"/>
          <w:color w:val="1F497D"/>
          <w:sz w:val="26"/>
        </w:rPr>
        <w:t>C. Prodotto (Priorità Media)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Accelerare M7 (DSCR Forecast) — raro tra competitor, alto valore percepito dalle banche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Investire in connettori nativi: XBRL, API Bankitalia, API Cerved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Visual Policy Builder → renderlo il principale differenziatore demo nel sales process</w:t>
      </w:r>
    </w:p>
    <w:p>
      <w:pPr>
        <w:spacing w:before="240" w:after="80"/>
      </w:pPr>
      <w:r>
        <w:rPr>
          <w:rFonts w:ascii="Calibri" w:hAnsi="Calibri"/>
          <w:b/>
          <w:i w:val="0"/>
          <w:color w:val="1F497D"/>
          <w:sz w:val="26"/>
        </w:rPr>
        <w:t>D. Difesa Competitiva (Priorità Media)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Depositare IP sul Visual Policy Builder + metodologia XAI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Costruire moat sui dati: dataset storici PEF + benchmark ATECO proprietari</w:t>
      </w:r>
    </w:p>
    <w:p>
      <w:pPr>
        <w:spacing w:before="360" w:after="120"/>
        <w:jc w:val="left"/>
        <w:pBdr>
          <w:bottom w:val="single" w:sz="6" w:space="1" w:color="0046FF"/>
        </w:pBdr>
      </w:pPr>
      <w:r>
        <w:rPr>
          <w:rFonts w:ascii="Calibri" w:hAnsi="Calibri"/>
          <w:b/>
          <w:i w:val="0"/>
          <w:color w:val="00467F"/>
          <w:sz w:val="32"/>
        </w:rPr>
        <w:t>8. Verdict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Metis si colloca nel segmento più strategico e meno affollato del mercato europeo del credit AI: quello "regulated + explainable". Con l'entrata in vigore dell'EU AI Act, i competitor black-box andranno incontro a significative frizioni normative. Metis è strutturalmente posizionato per catturare questa transizione.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Rating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Attrattività del segmento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★★★★☆  (4/5)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Vantaggio competitivo sostenibile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★★★★★  (5/5 — se difeso con IP e partnership CBS)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