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/>
          <w:b/>
          <w:color w:val="00467F"/>
          <w:sz w:val="48"/>
        </w:rPr>
        <w:t>METIS ACE — Analisi Complementare Evoluta</w:t>
      </w:r>
    </w:p>
    <w:p>
      <w:pPr>
        <w:jc w:val="center"/>
      </w:pPr>
      <w:r>
        <w:rPr>
          <w:rFonts w:ascii="Calibri" w:hAnsi="Calibri"/>
          <w:i/>
          <w:color w:val="595959"/>
          <w:sz w:val="28"/>
        </w:rPr>
        <w:t>Destinatari, Processi e Funzionalità del Prodotto</w:t>
      </w:r>
    </w:p>
    <w:p/>
    <w:p>
      <w:pPr>
        <w:jc w:val="center"/>
      </w:pPr>
      <w:r>
        <w:rPr>
          <w:rFonts w:ascii="Calibri" w:hAnsi="Calibri"/>
          <w:color w:val="808080"/>
          <w:sz w:val="22"/>
        </w:rPr>
        <w:t>Documento interno  |  Marzo 2026  |  Confidenziale</w:t>
      </w:r>
    </w:p>
    <w:p>
      <w:r>
        <w:br w:type="page"/>
      </w:r>
    </w:p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1. Cos'è Metis ACE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Metis è un motore AI Glass-Box per l'underwriting del credito alle PMI italiane. Automatizza la Pratica Elettronica di Fido (PEF) — il documento che ogni banca italiana produce per istruire una richiesta di affidamento — riducendo il tempo di analisi da 6–9 ore a meno di 30 secondi.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 differenza dei sistemi black-box, Metis è Glass-Box: ogni output AI è tracciato alla fonte, ogni calcolo finanziario è deterministico (non LLM), e la decisione finale rimane sempre in mano all'analista umano (EU AI Act compliant).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9EAD3"/>
          </w:tcPr>
          <w:p>
            <w:r>
              <w:rPr>
                <w:rFonts w:ascii="Calibri" w:hAnsi="Calibri"/>
                <w:i/>
                <w:sz w:val="22"/>
              </w:rPr>
              <w:t>🔑  Principio fondante: 'AI come assistente, umano come decisore.' Metis non approva né rifiuta pratiche — le istruisce in modo completo, spiegabile e auditabile.</w:t>
            </w:r>
          </w:p>
        </w:tc>
      </w:tr>
    </w:tbl>
    <w:p/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2. Destinatari del Prodotto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2.1 Utenti Primari — Gli Analisti del Credito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L'utente quotidiano di Metis è il Credit Analyst (o Gestore Imprese) della banca. Opera all'interno del CBS (Core Banking System) e ha la responsabilità di istruire le pratiche di fido per clienti PMI e Corporate.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Profilo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Ruolo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Obiettivo con Metis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Pain point attuale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Analista Credito Senior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Istruttoria pratiche complesse &gt;500K€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Ridurre il tempo di analisi, aumentare qualità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6–9 ore per pratica, errori manuali, fonti eterogenee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Analista Credito Junior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Pratiche standard PMI &lt;500K€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Guida strutturata nell'analisi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Mancanza di esperienza su KPI e benchmark settoriali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Gestore Imprese (RM)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Relazione con il cliente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Avere una sintesi pronta prima del colloquio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Non ha tempo per analisi quantitativa approfondita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Credit Officer / Risk Manager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Supervisione e firma del deliberato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Audit trail completo, conformità EU AI Act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Difficoltà nel controllare la qualità dei dossier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2.2 Utenti Secondari — Decision Makers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Direttore Crediti: supervisiona portafoglio e delibere — usa Metis per monitoraggio KPI aggregati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Compliance Officer: verifica rispetto EU AI Act — usa l'Audit Trail immutabile di Metis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CRO (Chief Risk Officer): oversight del rischio di portafoglio — dashboard aggregata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2.3 Cliente Finale (Indiretto)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La PMI italiana che richiede un finanziamento. Beneficia indirettamente di Metis attraverso risposte più rapide dalla banca (da settimane a ore) e valutazioni più accurate e meno discriminatorie (grazie al modello FairBoost XGBoost).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Profilo PMI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Settore tipo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Dati forniti a Metis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Micro PMI (1–9 dipendenti)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Artigianato, commercio al dettaglio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Bilancio XBRL, 1 anno CR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PMI Media (10–49 dipendenti)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Manifatturiero, servizi B2B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Bilancio XBRL, 3 anni CR, storico PEF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PMI Grande (50–249 dipendenti)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Industria, export, costruzioni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Bilancio XBRL consolidato, CR completo, Cerved</w:t>
            </w:r>
          </w:p>
        </w:tc>
      </w:tr>
    </w:tbl>
    <w:p/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3. Il Processo — Come Funziona Metis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3.1 Flusso End-to-End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Il processo Metis si articola in 7 fasi sequenziali, dalla richiesta all'approvazione: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Attore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Azione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Tempo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1. Trigger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Analista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Clicca 'Avvia ACE' nel CBS o nel pannello Metis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Job creato in coda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&lt; 1 sec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2. Data Collection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Sistema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Raccoglie dati da Bilancio XBRL, CR, PEF storici, Web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Dati staged + quality score per fonte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5–15 sec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3. Validazione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Sistema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Controlla completezza e qualità dei dati (Pydantic)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✅ Processa / ⚠️ Richiede revisione analista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&lt; 2 sec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4. Analisi (8 mod.)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Sistema AI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Esegue M1–M8 in parallelo (DAG Prefect)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8 output JSON + spiegazioni XAI (SHAP)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10–20 sec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5. Report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Sistema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Assembla output in PEF narrative completa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PDF + HTML scaricabili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&lt; 5 sec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6. Human Review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Analista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Legge, verifica, eventualmente corregge ogni sezione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Conferma / Override / Escalation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20–30 min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7. Delibera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Analista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Approva / Richiede integrazioni / Rifiuta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Decisione finale + audit record immutabile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5–10 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r>
              <w:rPr>
                <w:rFonts w:ascii="Calibri" w:hAnsi="Calibri"/>
                <w:i/>
                <w:sz w:val="22"/>
              </w:rPr>
              <w:t>⏱  Risparmio di tempo stimato: da 6–9 ore a ~30 minuti di revisione umana. La differenza è che Metis produce il dossier grezzo completo; l'analista si concentra solo sulla verifica e sulla decisione.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3.2 Fonti Dati Aggregate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Fonte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Moduli che la usano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Bilancio XBRL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Strutturato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M3, M6, M7, M8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Formato standard europeo — parser deterministico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Centrale Rischi (CR)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Strutturato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M5, M6, M7, M8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12 mesi di storico mensile, TimescaleDB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Commenti PEF storici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Testo libero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M1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Commenti analisti precedenti — input LLM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Web / DuckDuckGo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Non strutturato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News, Registro Imprese, Il Sole 24 Ore, ANSA</w:t>
            </w:r>
          </w:p>
        </w:tc>
      </w:tr>
      <w:tr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ISTAT / ATECO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Statistico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M4, M7, M8</w:t>
            </w:r>
          </w:p>
        </w:tc>
        <w:tc>
          <w:tcPr>
            <w:tcW w:type="dxa" w:w="235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Mediane settoriali per benchmark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Cerved APIs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Strutturato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Data Ingestion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Dati camerali, protesti, rating Cerved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3.3 Visual Policy Builder — Il Controllo del Flusso Decisionale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Oltre al motore AI, Metis include un editor grafico drag &amp; drop (React Flow) che permette al Credit Officer o al Risk Manager di configurare le regole decisionali senza scrivere codice.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I 'blocchi' disponibili: Data Ingestion, Fraud Detection, AI Scoring, Auto-Approve, Reject/Escalate, Custom Rule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Ogni blocco ha parametri configurabili: soglie di score, pesi delle fonti, limiti di falsi positivi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Il flusso viene salvato come policy JSON e versioned — ogni modifica è tracciata nell'Audit Trail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Esempio NanoBanana Pro: Score &gt; 65 → Auto-Approve con signoff | Score &lt; 35 → Reject automatico</w:t>
      </w:r>
    </w:p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4. Funzionalità — Gli 8 Moduli ACE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Il cuore di Metis sono gli 8 moduli indipendenti (M1–M8), ciascuno con il proprio scope, tecnologia e output. Possono essere attivati singolarmente o tutti insieme in sequenza orchestrata.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M1 — Sintesi Commenti Storici PEF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Cosa fa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Legge i commenti testuali scritti dagli analisti nelle pratiche PEF precedenti dello stesso cliente (fino a 3 annualità) e produce una sintesi narrativa strutturata, evidenziando le variazioni significative rispetto alle annualità precedenti (Delta Highlights).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Come funziona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Input: testo libero dei commenti storici (bilancio + CR + andamentale)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Tecnologia: LLM (Claude Sonnet / GPT-4o) con prompt strutturato + validazione anti-allucinazione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Anti-hallucination: ogni numero nell'output viene verificato contro i numeri nel testo sorgente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XAI: source attribution — ogni paragrafo è linkato alla frase sorgente da cui deriva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Output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sintesi_societaria: profilo dell'azienda in 3–5 righe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sintesi_bilancio: andamento economico-patrimoniale sintetizzato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sintesi_cr: comportamento bancario storico sintetizzato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delta_highlights: variazioni significative anno su anno con flag di rilevanza (HIGH/MEDIUM/LOW)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confidence_scores: confidenza dell'LLM per ogni paragrafo prodotto</w:t>
      </w:r>
    </w:p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M2 — Sintesi Commenti da Fonti Web (Nowcasting Reputazionale)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Cosa fa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Cerca notizie e informazioni pubbliche sull'azienda su fonti whitelistate (Il Sole 24 Ore, ANSA, Reuters Italia, Registro Imprese) e produce un'analisi del sentiment reputazionale aggiornata al giorno dell'analisi.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Come funziona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Web scraping con rate limiting (2 req/sec) su fonti approvate — no hallucination risk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Sentiment analysis: modello FinBERT specializzato in linguaggio finanziario italiano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Aggregazione sentiment: media pesata (fonti più autorevoli = peso maggiore)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Sintesi narrativa finale via LLM sull'aggregato degli articoli trovati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Output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descrizione_attivita: descrizione aggiornata dell'attività dell'azienda da fonti web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sentiment_complessivo: POSITIVO / NEUTRO / NEGATIVO con score 0–1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fonti: lista articoli con URL, data, estratto e sentiment individuale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soggetti_correlati: persone o aziende correlate emerse dalle notizie</w:t>
      </w:r>
    </w:p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M3 — Analisi KPI Bilancio (Financial Health Score)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Cosa fa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Calcola in modo deterministico (pura matematica Python, zero LLM) i 9 KPI finanziari fondamentali confrontando due esercizi (T0 vs T1), genera alert sulle soglie e produce uno score di rischio XGBoost con spiegazione SHAP.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KPI Calcolati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Soglia Alert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EBITDA Margin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EBITDA / Ricavi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&lt; 5%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ROE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Utile Netto / Patrimonio Netto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&lt; 2%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ROA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Utile Netto / Attivo Totale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&lt; 1%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Leverage (D/E)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Debiti Fin. / Patrimonio Netto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&gt; 4x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Current Ratio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Attivo Corrente / Passivo Corrente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&lt; 1.0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Interest Coverage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EBITDA / Oneri Finanziari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&lt; 1.5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NFP/EBITDA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(Debiti Fin. - Liquidità) / EBITDA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&gt; 5x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DSO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Crediti Comm. / Ricavi × 365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&gt; 120 gg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DPO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Debiti Comm. / Costi Op. × 365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&gt; 180 gg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Output aggiuntivi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Trend per ogni KPI: UP / STABLE / DOWN con variazione percentuale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Risk Score 0–1 (XGBoost) con feature importance SHAP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Altman Z-Score calcolato deterministicamente</w:t>
      </w:r>
    </w:p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M4 — Benchmark ATECO / ISTAT (Posizionamento Settoriale)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Cosa fa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Confronta i KPI dell'azienda analizzata con le mediane settoriali ISTAT per codice ATECO, determinando se l'azienda è OUTPERFORMER, IN LINEA o UNDERPERFORMER.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Come funziona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Database ISTAT: mediane, percentili 25° e 75° per ~200 codici ATECO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Matching automatico: codice ATECO dell'azienda → gruppo settoriale corrispondente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Calcolo percentile: posizionamento dell'azienda nella distribuzione settoriale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Output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Posizione per ogni KPI: OUTPERFORMER (&gt;75° percentile) / IN LINEA / UNDERPERFORMER (&lt;25°)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Narrativa: 'L'azienda mostra un EBITDA Margin del 12%, superiore alla mediana settoriale (8%)'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Input per M7 (Forecast) e M8 (SWOT)</w:t>
      </w:r>
    </w:p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M5 — Analisi CR 12 Mesi (Pattern Centrale Rischi)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Cosa fa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Analizza 12 mesi di dati mensili della Centrale Rischi (accordato, utilizzato, sconfinamenti, sofferenze, scaduto) usando analisi statistica e anomaly detection per identificare pattern di rischio e comportamenti anomali.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Come funziona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Time-series analysis: calcolo medie, delta, utilizzo medio su 12 mesi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Anomaly detection: Z-score statistico — valori &gt; 2σ vengono flaggati come anomali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Classificazione anomalie: TRANSITORIA (rientrata entro 60 giorni) vs STRUTTURALE (persistente)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Utilizzo ratio: accordato vs utilizzato — alert sopra 85% (rischio saturazione linee)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Output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metriche: tabella 12 mesi con valori, media, delta e classificazione (OK/WARNING/CRITICAL)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anomalie: lista eventi anomali con Z-score, mese, valore atteso vs rilevato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risk_score_cr: score 0–1 di rischio CR con spiegazione XAI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narrativa: testo descrittivo del comportamento CR in linguaggio bancario</w:t>
      </w:r>
    </w:p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M6 — Cross-Check CR vs Bilancio (Rilevamento Incoerenze)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Cosa fa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Confronta i debiti bancari dichiarati nel bilancio con i dati reali della Centrale Rischi, rilevando eventuali disallineamenti che potrebbero indicare omissioni, errori contabili o manipolazioni.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Come funziona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Calcolo delta percentuale: |Bilancio - CR| / max(Bilancio, CR) × 100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Soglie: 0–10% → OK | 10–25% → WARNING | &gt;25% → CRITICAL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Analisi cause automatica: sfasamento temporale, debiti non censiti in CR, utilizzi post-chiusura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Output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delta_pct_totale: scarto percentuale totale tra bilancio e CR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severity: OK / WARNING / CRITICAL con semaforo visivo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possibili_cause: lista ragioni plausibili dello scostamento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raccomandazione: azione suggerita all'analista (es. 'Richiedere documentazione integrativa')</w:t>
      </w:r>
    </w:p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M7 — Forecast DSCR Prospettico (Sostenibilità del Debito)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Cosa fa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Calcola il Debt Service Coverage Ratio (DSCR) prospettico su 3 scenari (Ottimistico / Base / Stress) per valutare la capacità futura dell'azienda di servire il debito richiesto.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Formula DSCR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CE6F1"/>
          </w:tcPr>
          <w:p>
            <w:r>
              <w:rPr>
                <w:rFonts w:ascii="Calibri" w:hAnsi="Calibri"/>
                <w:i/>
                <w:sz w:val="22"/>
              </w:rPr>
              <w:t>DSCR = (EBITDA proiettato − Tasse − Capex mantenimento) ÷ (Quota capitale annua + Interessi annui)</w:t>
              <w:br/>
              <w:br/>
              <w:t>• DSCR &gt; 1.3  →  SOSTENIBILE</w:t>
              <w:br/>
              <w:t>• 1.0 &lt; DSCR &lt; 1.3  →  BORDERLINE</w:t>
              <w:br/>
              <w:t>• DSCR &lt; 1.0  →  NON SOSTENIBILE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I 3 Scenari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Crescita Ricavi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Crescita Costi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Delta Tassi</w:t>
            </w:r>
          </w:p>
        </w:tc>
        <w:tc>
          <w:tcPr>
            <w:tcW w:type="dxa" w:w="1881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Quando si applica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OTTIMISTICO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+10%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+3%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CR OK + KPI in crescita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BASE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+2%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+0.5%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sz w:val="20"/>
              </w:rPr>
              <w:t>Situazione standard</w:t>
            </w:r>
          </w:p>
        </w:tc>
      </w:tr>
      <w:tr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STRESS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-15%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+5%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+1.5%</w:t>
            </w:r>
          </w:p>
        </w:tc>
        <w:tc>
          <w:tcPr>
            <w:tcW w:type="dxa" w:w="1881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CR CRITICAL o KPI in calo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i w:val="0"/>
          <w:sz w:val="22"/>
        </w:rPr>
        <w:t>Lo scenario viene selezionato automaticamente dai dati di M3 e M5, ma l'analista può forzarlo.</w:t>
      </w:r>
    </w:p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M8 — SWOT Matrix (Sintesi Strategica)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Cosa fa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Aggrega automaticamente gli output di M2, M3, M4 e M5 in una matrice SWOT strutturata, distinguendo fattori interni (Forze/Debolezze) da fattori esterni (Opportunità/Minacce), con evidenza numerica per ogni punto.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Logica di mapping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FORZE: KPI sopra mediana ISTAT + CR regolare + sentiment web positivo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DEBOLEZZE: KPI in alert + anomalie CR strutturali + trend negativo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OPPORTUNITÀ: trend settoriale positivo + indicatori macro favorevoli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MINACCE: sentiment web negativo + forecast DSCR Stress &lt; 1.0 + esposizione a tassi variabili</w:t>
      </w:r>
    </w:p>
    <w:p>
      <w:pPr>
        <w:spacing w:before="160" w:after="40"/>
      </w:pPr>
      <w:r>
        <w:rPr>
          <w:rFonts w:ascii="Calibri" w:hAnsi="Calibri"/>
          <w:b/>
          <w:color w:val="4472C4"/>
          <w:sz w:val="22"/>
        </w:rPr>
        <w:t>Output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Matrice 2×2 con 3–5 item per quadrante, ciascuno con evidenza numerica e modulo sorgente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Ogni item è linkato al modulo che lo ha generato (source_module: M3, M4, M5...)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Narrativa LLM che sintetizza i 4 quadranti in un paragrafo executive</w:t>
      </w:r>
    </w:p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5. Funzionalità Trasversali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5.1 XAI — Explainable AI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Ogni modulo che produce uno score o una predizione genera automaticamente una spiegazione tramite SHAP (SHapley Additive exPlanations).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Feature importance: quali KPI hanno pesato di più nello score (es. 'il Leverage ha contribuito +0.23 al rischio')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Source attribution: ogni paragrafo LLM è linkato alla frase sorgente che lo ha generato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Confidence scores: grado di certezza dell'LLM per ogni sezione prodotta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5.2 Audit Trail Immutabile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Ogni azione nel sistema — esecuzione di un modulo, conferma umana, override, escalation — genera un record immutabile nel database con hash SHA-256 degli input e output.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Chi ha fatto cosa e quando: actor, timestamp, job_id, module_code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Override obbligatorio con motivazione: se l'analista corregge un output AI, deve spiegare perché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Exportable: il trail è consultabile dal Compliance Officer e scaricabile in PDF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5.3 Data Quality Scoring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Prima di elaborare, ogni fonte dati riceve uno score di qualità 0–100.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Fonte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Quality Score 85%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Quality Score &lt; 50% → Azione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Bilancio XBRL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Procede normalmente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Warning a analista — possibili dati mancanti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CR Data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Procede normalmente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Job bloccato — richiesta integrazione obbligatoria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Web Sources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Procede normalmente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Modulo M2 in modalità 'parziale' — dati limitati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5.4 Report Generator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Output: PDF e HTML scaricabili con tutti gli 8 moduli assemblati in PEF narrativa completa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Stile bancario standard — compatibile con il formato di delibera delle banche italiane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Include disclaimer EU AI Act obbligatorio in ogni report</w:t>
      </w:r>
    </w:p>
    <w:p>
      <w:pPr>
        <w:spacing w:before="200" w:after="80"/>
      </w:pPr>
      <w:r>
        <w:rPr>
          <w:rFonts w:ascii="Calibri" w:hAnsi="Calibri"/>
          <w:b/>
          <w:color w:val="1F497D"/>
          <w:sz w:val="26"/>
        </w:rPr>
        <w:t>5.5 Visual Policy Builder (No-Code)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Editor drag &amp; drop per configurare le regole decisionali del processo di credito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Blocchi disponibili: Data Ingestion, Fraud Detection, AI Scoring, Auto-Approve, Reject, Custom Rule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Ogni policy è versionata e storicizzata — roll-back possibile a qualsiasi versione precedente</w:t>
      </w:r>
    </w:p>
    <w:p>
      <w:pPr>
        <w:pStyle w:val="ListBullet"/>
        <w:spacing w:after="40"/>
        <w:ind w:left="0"/>
      </w:pPr>
      <w:r>
        <w:rPr>
          <w:rFonts w:ascii="Calibri" w:hAnsi="Calibri"/>
          <w:sz w:val="22"/>
        </w:rPr>
        <w:t>Permette alla banca di personalizzare soglie e pesi senza modificare il codice</w:t>
      </w:r>
    </w:p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6. Compliance EU AI Act</w:t>
      </w:r>
    </w:p>
    <w:p>
      <w:pPr>
        <w:spacing w:after="80"/>
      </w:pPr>
      <w:r>
        <w:rPr>
          <w:rFonts w:ascii="Calibri" w:hAnsi="Calibri"/>
          <w:b w:val="0"/>
          <w:i w:val="0"/>
          <w:sz w:val="22"/>
        </w:rPr>
        <w:t>Metis è progettato nativamente per soddisfare i requisiti dell'EU AI Act (Regolamento UE 2024/1689), che classifica i sistemi AI per il credit scoring come 'Alto Rischio' e impone obblighi specifici.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Requisito EU AI Act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Come Metis lo soddisfa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Human oversight obbligatorio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Delibera Action Bar: Approva / Richiede Integrazioni / Rifiuta — l'analista decide sempre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Trasparenza e spiegabilità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XAI SHAP su ogni score + source attribution LLM su ogni paragrafo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Audit trail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Ogni azione registrata in tabella audit_trail con hash SHA-256 immutabile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Nessuna decisione automatica definitiva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Il sistema non approva né rifiuta — produce solo una proposta analitica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Accuracy e robustezza</w:t>
            </w:r>
          </w:p>
        </w:tc>
        <w:tc>
          <w:tcPr>
            <w:tcW w:type="dxa" w:w="4703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Math deterministico per i calcoli finanziari — zero LLM per i KPI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Data governance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Dati sintetici in sviluppo, nessun dato reale senza consenso</w:t>
            </w:r>
          </w:p>
        </w:tc>
      </w:tr>
    </w:tbl>
    <w:p/>
    <w:p>
      <w:pPr>
        <w:spacing w:before="360" w:after="120"/>
        <w:pBdr>
          <w:bottom w:val="single" w:sz="6" w:space="1" w:color="00467F"/>
        </w:pBdr>
      </w:pPr>
      <w:r>
        <w:rPr>
          <w:rFonts w:ascii="Calibri" w:hAnsi="Calibri"/>
          <w:b/>
          <w:color w:val="00467F"/>
          <w:sz w:val="32"/>
        </w:rPr>
        <w:t>7. Stack Tecnologico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Scopo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Next.js 16 + TailwindCSS v4 + React Flow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UI analista + Visual Policy Builder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FastAPI (Python)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Orchestratore agenti + endpoint REST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AI / LLM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Claude Sonnet (primario) + GPT-4o (fallback)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Moduli narrativi M1, M2, M7, M8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ML / Scoring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XGBoost + LightGBM + scikit-learn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Risk scoring M3, M5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XAI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SHAP (TreeExplainer + KernelExplainer)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Spiegabilità su ogni prediction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PostgreSQL 16 + TimescaleDB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Dati strutturati + time-series CR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Cache / Queue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Redis + RabbitMQ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Job queue e caching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Orchestrazione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Prefect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DAG per esecuzione moduli in parallelo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Web Scraping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DuckDuckGo API + BeautifulSoup</w:t>
            </w:r>
          </w:p>
        </w:tc>
        <w:tc>
          <w:tcPr>
            <w:tcW w:type="dxa" w:w="3135"/>
            <w:shd w:val="clear" w:color="auto" w:fill="DCE6F1"/>
          </w:tcPr>
          <w:p>
            <w:r>
              <w:rPr>
                <w:rFonts w:ascii="Calibri" w:hAnsi="Calibri"/>
                <w:sz w:val="20"/>
              </w:rPr>
              <w:t>Modulo M2 — nowcasting reputazionale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