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A535C" w14:textId="77777777" w:rsidR="00C0395C" w:rsidRDefault="00C0395C">
      <w:pPr>
        <w:spacing w:before="120" w:after="240"/>
        <w:jc w:val="center"/>
        <w:rPr>
          <w:rFonts w:eastAsia="楷体_GB2312"/>
          <w:b/>
          <w:sz w:val="44"/>
        </w:rPr>
      </w:pPr>
    </w:p>
    <w:p w14:paraId="0EFCE5D6" w14:textId="77777777" w:rsidR="00C0395C" w:rsidRDefault="00000000">
      <w:pPr>
        <w:spacing w:before="120" w:after="240"/>
        <w:jc w:val="center"/>
        <w:rPr>
          <w:rFonts w:eastAsia="楷体_GB2312"/>
          <w:b/>
          <w:sz w:val="44"/>
        </w:rPr>
      </w:pPr>
      <w:r>
        <w:rPr>
          <w:rFonts w:eastAsia="楷体_GB2312" w:hint="eastAsia"/>
          <w:b/>
          <w:sz w:val="44"/>
        </w:rPr>
        <w:t>南京航空航天大学</w:t>
      </w:r>
    </w:p>
    <w:p w14:paraId="170A0E6C" w14:textId="77777777" w:rsidR="00C0395C" w:rsidRDefault="00000000">
      <w:pPr>
        <w:spacing w:before="120"/>
        <w:jc w:val="center"/>
        <w:rPr>
          <w:b/>
          <w:sz w:val="52"/>
        </w:rPr>
      </w:pPr>
      <w:r>
        <w:rPr>
          <w:rFonts w:hint="eastAsia"/>
          <w:b/>
          <w:sz w:val="52"/>
        </w:rPr>
        <w:t>毕业设计（论文）开题报告</w:t>
      </w:r>
    </w:p>
    <w:p w14:paraId="77D80A3E" w14:textId="77777777" w:rsidR="00C0395C" w:rsidRDefault="00C0395C">
      <w:pPr>
        <w:spacing w:after="120"/>
        <w:jc w:val="center"/>
        <w:rPr>
          <w:rFonts w:ascii="宋体"/>
          <w:sz w:val="32"/>
        </w:rPr>
      </w:pPr>
    </w:p>
    <w:tbl>
      <w:tblPr>
        <w:tblW w:w="0" w:type="auto"/>
        <w:tblInd w:w="1668" w:type="dxa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4"/>
        <w:gridCol w:w="2175"/>
        <w:gridCol w:w="992"/>
        <w:gridCol w:w="2215"/>
      </w:tblGrid>
      <w:tr w:rsidR="00F75393" w14:paraId="71769699" w14:textId="77777777" w:rsidTr="00B95F45">
        <w:trPr>
          <w:trHeight w:val="639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60DD187" w14:textId="77777777" w:rsidR="000C62FF" w:rsidRPr="005E37A1" w:rsidRDefault="00000000" w:rsidP="00B95F45">
            <w:pPr>
              <w:spacing w:beforeLines="100" w:before="312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学    院</w:t>
            </w:r>
          </w:p>
        </w:tc>
        <w:tc>
          <w:tcPr>
            <w:tcW w:w="5382" w:type="dxa"/>
            <w:gridSpan w:val="3"/>
            <w:shd w:val="clear" w:color="auto" w:fill="auto"/>
            <w:vAlign w:val="bottom"/>
          </w:tcPr>
          <w:p w14:paraId="4B2BFC30" w14:textId="77777777" w:rsidR="000C62FF" w:rsidRPr="005E37A1" w:rsidRDefault="00000000" w:rsidP="00B95F45">
            <w:pPr>
              <w:spacing w:beforeLines="100" w:before="312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计算机科学与技术学院/软件学院</w:t>
            </w:r>
          </w:p>
        </w:tc>
      </w:tr>
      <w:tr w:rsidR="00F75393" w14:paraId="1986B61C" w14:textId="77777777" w:rsidTr="00B95F45">
        <w:trPr>
          <w:trHeight w:val="651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D7C71A0" w14:textId="77777777" w:rsidR="000C62FF" w:rsidRPr="005E37A1" w:rsidRDefault="00000000" w:rsidP="00B95F45">
            <w:pPr>
              <w:spacing w:beforeLines="100" w:before="312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专    业</w:t>
            </w:r>
          </w:p>
        </w:tc>
        <w:tc>
          <w:tcPr>
            <w:tcW w:w="5382" w:type="dxa"/>
            <w:gridSpan w:val="3"/>
            <w:shd w:val="clear" w:color="auto" w:fill="auto"/>
            <w:vAlign w:val="bottom"/>
          </w:tcPr>
          <w:p w14:paraId="5A2005AD" w14:textId="77777777" w:rsidR="000C62FF" w:rsidRPr="005E37A1" w:rsidRDefault="00000000" w:rsidP="00B95F45">
            <w:pPr>
              <w:spacing w:beforeLines="100" w:before="312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物联网工程</w:t>
            </w:r>
          </w:p>
        </w:tc>
      </w:tr>
      <w:tr w:rsidR="00F75393" w14:paraId="7D66E45B" w14:textId="77777777" w:rsidTr="00B95F45">
        <w:trPr>
          <w:trHeight w:val="639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005181A" w14:textId="77777777" w:rsidR="000C62FF" w:rsidRPr="005E37A1" w:rsidRDefault="00000000" w:rsidP="00B95F45">
            <w:pPr>
              <w:spacing w:beforeLines="100" w:before="312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题    目</w:t>
            </w:r>
          </w:p>
        </w:tc>
        <w:tc>
          <w:tcPr>
            <w:tcW w:w="5382" w:type="dxa"/>
            <w:gridSpan w:val="3"/>
            <w:shd w:val="clear" w:color="auto" w:fill="auto"/>
            <w:vAlign w:val="bottom"/>
          </w:tcPr>
          <w:p w14:paraId="3E7A85AC" w14:textId="77777777" w:rsidR="000C62FF" w:rsidRPr="005E37A1" w:rsidRDefault="00000000" w:rsidP="00B95F45">
            <w:pPr>
              <w:spacing w:beforeLines="100" w:before="312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大模型</w:t>
            </w:r>
            <w:proofErr w:type="spellStart"/>
            <w:r w:rsidRPr="005E37A1">
              <w:rPr>
                <w:rFonts w:ascii="宋体"/>
                <w:sz w:val="32"/>
              </w:rPr>
              <w:t>KVCache</w:t>
            </w:r>
            <w:proofErr w:type="spellEnd"/>
            <w:r w:rsidRPr="005E37A1">
              <w:rPr>
                <w:rFonts w:ascii="宋体"/>
                <w:sz w:val="32"/>
              </w:rPr>
              <w:t>优化方法研究</w:t>
            </w:r>
          </w:p>
        </w:tc>
      </w:tr>
      <w:tr w:rsidR="00F75393" w14:paraId="2CC6B5FF" w14:textId="77777777" w:rsidTr="009308E7">
        <w:trPr>
          <w:trHeight w:val="651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F538532" w14:textId="77777777" w:rsidR="000C62FF" w:rsidRPr="005E37A1" w:rsidRDefault="00000000" w:rsidP="00B95F45">
            <w:pPr>
              <w:spacing w:beforeLines="100" w:before="312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学生姓名</w:t>
            </w:r>
          </w:p>
        </w:tc>
        <w:tc>
          <w:tcPr>
            <w:tcW w:w="2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229BF07" w14:textId="77777777" w:rsidR="000C62FF" w:rsidRPr="005E37A1" w:rsidRDefault="00000000" w:rsidP="00B95F45">
            <w:pPr>
              <w:spacing w:beforeLines="100" w:before="312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曾旭阳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14:paraId="46927717" w14:textId="77777777" w:rsidR="000C62FF" w:rsidRPr="005E37A1" w:rsidRDefault="00000000" w:rsidP="00B95F45">
            <w:pPr>
              <w:spacing w:beforeLines="100" w:before="312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学号</w:t>
            </w:r>
          </w:p>
        </w:tc>
        <w:tc>
          <w:tcPr>
            <w:tcW w:w="2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BEF7775" w14:textId="77777777" w:rsidR="000C62FF" w:rsidRPr="005E37A1" w:rsidRDefault="00000000" w:rsidP="00B95F45">
            <w:pPr>
              <w:spacing w:beforeLines="100" w:before="312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162140212</w:t>
            </w:r>
          </w:p>
        </w:tc>
      </w:tr>
      <w:tr w:rsidR="00F75393" w14:paraId="6D962107" w14:textId="77777777" w:rsidTr="009308E7">
        <w:trPr>
          <w:trHeight w:val="639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E40C017" w14:textId="77777777" w:rsidR="000C62FF" w:rsidRPr="005E37A1" w:rsidRDefault="00000000" w:rsidP="00B95F45">
            <w:pPr>
              <w:spacing w:beforeLines="100" w:before="312"/>
              <w:jc w:val="center"/>
              <w:rPr>
                <w:rFonts w:ascii="宋体"/>
                <w:sz w:val="32"/>
              </w:rPr>
            </w:pPr>
            <w:proofErr w:type="gramStart"/>
            <w:r w:rsidRPr="005E37A1">
              <w:rPr>
                <w:rFonts w:ascii="宋体" w:hint="eastAsia"/>
                <w:sz w:val="32"/>
              </w:rPr>
              <w:t>毕设地点</w:t>
            </w:r>
            <w:proofErr w:type="gramEnd"/>
          </w:p>
        </w:tc>
        <w:tc>
          <w:tcPr>
            <w:tcW w:w="5382" w:type="dxa"/>
            <w:gridSpan w:val="3"/>
            <w:tcBorders>
              <w:top w:val="nil"/>
            </w:tcBorders>
            <w:shd w:val="clear" w:color="auto" w:fill="auto"/>
            <w:vAlign w:val="bottom"/>
          </w:tcPr>
          <w:p w14:paraId="751624FE" w14:textId="77777777" w:rsidR="000C62FF" w:rsidRPr="005E37A1" w:rsidRDefault="00000000" w:rsidP="00B95F45">
            <w:pPr>
              <w:spacing w:beforeLines="100" w:before="312"/>
              <w:jc w:val="center"/>
              <w:rPr>
                <w:rFonts w:ascii="宋体"/>
                <w:sz w:val="32"/>
              </w:rPr>
            </w:pPr>
            <w:r w:rsidRPr="001A26B5">
              <w:rPr>
                <w:rFonts w:ascii="宋体"/>
                <w:sz w:val="32"/>
              </w:rPr>
              <w:t>南航计算机学院</w:t>
            </w:r>
          </w:p>
        </w:tc>
      </w:tr>
      <w:tr w:rsidR="00F75393" w14:paraId="609E8AD4" w14:textId="77777777" w:rsidTr="00B95F45">
        <w:trPr>
          <w:trHeight w:val="651"/>
        </w:trPr>
        <w:tc>
          <w:tcPr>
            <w:tcW w:w="179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37DF404" w14:textId="77777777" w:rsidR="000C62FF" w:rsidRPr="005E37A1" w:rsidRDefault="00000000" w:rsidP="00B95F45">
            <w:pPr>
              <w:spacing w:beforeLines="100" w:before="312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指导教师</w:t>
            </w:r>
          </w:p>
        </w:tc>
        <w:tc>
          <w:tcPr>
            <w:tcW w:w="2175" w:type="dxa"/>
            <w:shd w:val="clear" w:color="auto" w:fill="auto"/>
            <w:vAlign w:val="bottom"/>
          </w:tcPr>
          <w:p w14:paraId="02071BA4" w14:textId="77777777" w:rsidR="000C62FF" w:rsidRPr="005E37A1" w:rsidRDefault="00000000" w:rsidP="00B95F45">
            <w:pPr>
              <w:spacing w:beforeLines="100" w:before="312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/>
                <w:sz w:val="32"/>
              </w:rPr>
              <w:t>蔡淼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5BC226A" w14:textId="77777777" w:rsidR="000C62FF" w:rsidRPr="005E37A1" w:rsidRDefault="00000000" w:rsidP="00B95F45">
            <w:pPr>
              <w:spacing w:beforeLines="100" w:before="312"/>
              <w:jc w:val="center"/>
              <w:rPr>
                <w:rFonts w:ascii="宋体"/>
                <w:sz w:val="32"/>
              </w:rPr>
            </w:pPr>
            <w:r w:rsidRPr="005E37A1">
              <w:rPr>
                <w:rFonts w:ascii="宋体" w:hint="eastAsia"/>
                <w:sz w:val="32"/>
              </w:rPr>
              <w:t>职称</w:t>
            </w:r>
          </w:p>
        </w:tc>
        <w:tc>
          <w:tcPr>
            <w:tcW w:w="2215" w:type="dxa"/>
            <w:shd w:val="clear" w:color="auto" w:fill="auto"/>
            <w:vAlign w:val="bottom"/>
          </w:tcPr>
          <w:p w14:paraId="7D81336B" w14:textId="77777777" w:rsidR="000C62FF" w:rsidRPr="005E37A1" w:rsidRDefault="000C62FF" w:rsidP="00B95F45">
            <w:pPr>
              <w:spacing w:beforeLines="100" w:before="312"/>
              <w:jc w:val="center"/>
              <w:rPr>
                <w:rFonts w:ascii="宋体"/>
                <w:sz w:val="32"/>
              </w:rPr>
            </w:pPr>
          </w:p>
        </w:tc>
      </w:tr>
    </w:tbl>
    <w:p w14:paraId="3D40C3B4" w14:textId="77777777" w:rsidR="000C62FF" w:rsidRDefault="000C62FF" w:rsidP="000C62FF">
      <w:pPr>
        <w:tabs>
          <w:tab w:val="left" w:pos="3261"/>
          <w:tab w:val="left" w:pos="6096"/>
        </w:tabs>
        <w:rPr>
          <w:rFonts w:ascii="宋体"/>
          <w:sz w:val="32"/>
          <w:u w:val="single"/>
        </w:rPr>
      </w:pPr>
    </w:p>
    <w:p w14:paraId="78A09E50" w14:textId="77777777" w:rsidR="000C62FF" w:rsidRDefault="000C62FF" w:rsidP="000C62FF">
      <w:pPr>
        <w:tabs>
          <w:tab w:val="left" w:pos="3261"/>
          <w:tab w:val="left" w:pos="6096"/>
        </w:tabs>
        <w:rPr>
          <w:rFonts w:ascii="宋体"/>
          <w:sz w:val="32"/>
          <w:u w:val="single"/>
        </w:rPr>
      </w:pPr>
    </w:p>
    <w:p w14:paraId="44E65FAB" w14:textId="77777777" w:rsidR="00A41077" w:rsidRDefault="00A41077" w:rsidP="00AD4ADD">
      <w:pPr>
        <w:tabs>
          <w:tab w:val="left" w:pos="3261"/>
          <w:tab w:val="left" w:pos="6096"/>
        </w:tabs>
        <w:jc w:val="center"/>
        <w:rPr>
          <w:rFonts w:ascii="宋体"/>
          <w:sz w:val="32"/>
        </w:rPr>
      </w:pPr>
    </w:p>
    <w:p w14:paraId="54F0FFA8" w14:textId="77777777" w:rsidR="00AD4ADD" w:rsidRPr="00B80836" w:rsidRDefault="00000000" w:rsidP="00EB48E5">
      <w:pPr>
        <w:tabs>
          <w:tab w:val="left" w:pos="3261"/>
          <w:tab w:val="left" w:pos="6096"/>
        </w:tabs>
        <w:jc w:val="center"/>
        <w:rPr>
          <w:rFonts w:ascii="宋体"/>
          <w:b/>
          <w:sz w:val="24"/>
          <w:szCs w:val="24"/>
        </w:rPr>
      </w:pPr>
      <w:r>
        <w:rPr>
          <w:rFonts w:ascii="宋体"/>
          <w:b/>
          <w:sz w:val="24"/>
          <w:szCs w:val="24"/>
        </w:rPr>
        <w:br w:type="page"/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F75393" w14:paraId="41FFA3B4" w14:textId="77777777" w:rsidTr="007B3F7B">
        <w:trPr>
          <w:trHeight w:val="1487"/>
        </w:trPr>
        <w:tc>
          <w:tcPr>
            <w:tcW w:w="9356" w:type="dxa"/>
          </w:tcPr>
          <w:p w14:paraId="3C8CB662" w14:textId="77777777" w:rsidR="000C62FF" w:rsidRPr="000C62FF" w:rsidRDefault="00000000" w:rsidP="00385306">
            <w:pPr>
              <w:widowControl/>
              <w:tabs>
                <w:tab w:val="left" w:pos="420"/>
              </w:tabs>
              <w:spacing w:line="20" w:lineRule="atLeast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  <w:r>
              <w:rPr>
                <w:rFonts w:ascii="宋体" w:hAnsi="宋体"/>
                <w:b/>
              </w:rPr>
              <w:t>.</w:t>
            </w:r>
            <w:r w:rsidRPr="000C62FF">
              <w:rPr>
                <w:rFonts w:ascii="宋体" w:hAnsi="宋体" w:hint="eastAsia"/>
                <w:b/>
              </w:rPr>
              <w:t>结合毕业设计（论文）课题任务情况，根据所查阅的文献资料，每人撰写1500～2000字左右的文献综述：</w:t>
            </w:r>
          </w:p>
          <w:p w14:paraId="788B7AD5" w14:textId="77777777" w:rsidR="00FD6C93" w:rsidRPr="00FD6C93" w:rsidRDefault="00FD6C93" w:rsidP="00FD6C93">
            <w:pPr>
              <w:spacing w:line="300" w:lineRule="auto"/>
              <w:ind w:firstLineChars="200" w:firstLine="422"/>
              <w:jc w:val="left"/>
              <w:rPr>
                <w:rFonts w:ascii="宋体" w:hAnsi="宋体" w:cs="Arial"/>
                <w:b/>
                <w:bCs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b/>
                <w:bCs/>
                <w:color w:val="444444"/>
                <w:szCs w:val="21"/>
                <w:shd w:val="clear" w:color="auto" w:fill="FFFFFF"/>
              </w:rPr>
              <w:t>1.1 Mooncake</w:t>
            </w:r>
          </w:p>
          <w:p w14:paraId="493636F3" w14:textId="3B6A9657" w:rsidR="00FD6C93" w:rsidRPr="00FD6C93" w:rsidRDefault="00FD6C93" w:rsidP="00E63B8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Mooncake（应用于Kimi）：核心是一个全局调度器（命名为Conductor），基于当前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和工作负载的分配情况，负责调度请求。Mooncake采用Prefill、Decoding分开的架构，并且利用CPU内存和SSD构建分层缓存，并通过预测性调度策略（</w:t>
            </w:r>
            <w:proofErr w:type="gram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如热块复制</w:t>
            </w:r>
            <w:proofErr w:type="gram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、早期请求拒绝）优化过载场景的吞吐量。实验表明，Mooncake在长上下文场景下表现出色，其支持200万Token上下文，在真实负载下吞吐量提升75%。</w:t>
            </w:r>
          </w:p>
          <w:p w14:paraId="3FE6D8C0" w14:textId="46B291E3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noProof/>
                <w:color w:val="444444"/>
                <w:szCs w:val="21"/>
                <w:shd w:val="clear" w:color="auto" w:fill="FFFFFF"/>
              </w:rPr>
              <w:drawing>
                <wp:inline distT="0" distB="0" distL="0" distR="0" wp14:anchorId="587FA6C2" wp14:editId="56B57CBF">
                  <wp:extent cx="5083574" cy="2793185"/>
                  <wp:effectExtent l="0" t="0" r="0" b="0"/>
                  <wp:docPr id="184074545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25" cy="2799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0C8818" w14:textId="12746ED4" w:rsidR="00FD6C93" w:rsidRPr="00FD6C93" w:rsidRDefault="00FD6C93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Mooncake采用了一种分离架构，不仅将预填充节点与解码节点分离，还将GPU集群中的CPU、DRAM、SSD和RDMA资源分组，以实现分离的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缓存。这种分离架构利用未充分利用的资源，提供充足的缓存容量和传输带宽，从而实现高效的近GPU前缀缓存，而无需额外成本。</w:t>
            </w:r>
          </w:p>
          <w:p w14:paraId="20CDECD8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1.1.1 Mooncake架构</w:t>
            </w:r>
          </w:p>
          <w:p w14:paraId="1703D212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Mooncake的架构包括以下几个主要组件：</w:t>
            </w:r>
          </w:p>
          <w:p w14:paraId="089EA77A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（1）预填充节点池：负责处理请求的预填充阶段，生成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。Mooncake的预填充</w:t>
            </w:r>
            <w:proofErr w:type="gram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池采用</w:t>
            </w:r>
            <w:proofErr w:type="gram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了分块管道并行（CPP）机制，以扩展单个请求的处理能力，从而减少长上下文输入的TTFT。与传统的序列并行（SP）解决方案相比，CPP减少了网络消耗，并简化了对频繁弹性扩展的依赖。此外，Mooncake还采用了分层预填充机制，使得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的流传输能够重叠延迟，进一步优化了预填充阶段的性能。</w:t>
            </w:r>
          </w:p>
          <w:p w14:paraId="498BA9DE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（2）解码节点池：负责处理请求的解码阶段，利用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生成输出。</w:t>
            </w:r>
          </w:p>
          <w:p w14:paraId="461A1490" w14:textId="17CC6ECB" w:rsidR="00FD6C93" w:rsidRPr="00FD6C93" w:rsidRDefault="00FD6C93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（3）全局调度器（Conductor）：负责根据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的分布和工作负载调度请求，并在必要时复制或交换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块。</w:t>
            </w:r>
          </w:p>
          <w:p w14:paraId="7193B5E5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 xml:space="preserve">1.1.2 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-centric调度算法：</w:t>
            </w:r>
          </w:p>
          <w:p w14:paraId="452BE707" w14:textId="18C328EE" w:rsidR="00FD6C93" w:rsidRPr="00FD6C93" w:rsidRDefault="00FD6C93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Mooncake的调度算法旨在平衡实例负载和用户体验，特别是TTFT和TBT SLO。该算法包括一个基于启发式的自动热点迁移方案，该方案无需精确预测未来的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使用情况即可复制热点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块。实验结果表明，这种缓存感知调度可以显著降低实际场景中的TTFT。</w:t>
            </w:r>
          </w:p>
          <w:p w14:paraId="404AD880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lastRenderedPageBreak/>
              <w:t>1.1.3 过载场景下的调度：</w:t>
            </w:r>
          </w:p>
          <w:p w14:paraId="704FA5C6" w14:textId="1205FB5F" w:rsidR="00FD6C93" w:rsidRDefault="00FD6C93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与现有研究不同，Mooncake面临的是高度过载的场景。为了应对这些挑战，Mooncake开发了一种基于预测的早期拒绝策略，以减少在过载情况下的计算资源浪费。实验表明，Mooncake在长上下文场景中表现出色，与baseline相比，在某些模拟场景中可以实现高达525%的吞吐量提升，同时遵守SLO。在实际工作负载下，Mooncake的创新架构使Kimi能够处理75%以上的请求。</w:t>
            </w:r>
          </w:p>
          <w:p w14:paraId="47F2930A" w14:textId="77777777" w:rsidR="00AF390B" w:rsidRPr="00FD6C93" w:rsidRDefault="00AF390B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  <w:p w14:paraId="3A9799C3" w14:textId="77777777" w:rsidR="00FD6C93" w:rsidRPr="00FD6C93" w:rsidRDefault="00FD6C93" w:rsidP="00FD6C93">
            <w:pPr>
              <w:spacing w:line="300" w:lineRule="auto"/>
              <w:ind w:firstLineChars="200" w:firstLine="422"/>
              <w:jc w:val="left"/>
              <w:rPr>
                <w:rFonts w:ascii="宋体" w:hAnsi="宋体" w:cs="Arial"/>
                <w:b/>
                <w:bCs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b/>
                <w:bCs/>
                <w:color w:val="444444"/>
                <w:szCs w:val="21"/>
                <w:shd w:val="clear" w:color="auto" w:fill="FFFFFF"/>
              </w:rPr>
              <w:t>1.2 Infinite-LLM</w:t>
            </w:r>
          </w:p>
          <w:p w14:paraId="49E4293B" w14:textId="3FFFD347" w:rsidR="00FD6C93" w:rsidRPr="00FD6C93" w:rsidRDefault="00FD6C93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Infinite-LLM（阿里巴巴）提出基于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DistAttention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的</w:t>
            </w:r>
            <w:proofErr w:type="gram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集群级</w:t>
            </w:r>
            <w:proofErr w:type="spellStart"/>
            <w:proofErr w:type="gram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调度，一种将attention和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细分为规则的小子块的方法，从而允许注意层在多个实例中高效分布和计算。其核心创新在于将注意力层与非注意力层解耦，利用数学等效变换（如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MicroAttention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分块计算）减少跨节点通信开销，并通过贪心算法动态分配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块，在一个包含32个A100 GPU的集群中，上下文长度从几个到 2000K 的token的数据集上进行评估。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InfiniteLLM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与最先进的方法相比，吞吐量提高了1.35-3.4倍，从而实现高效和弹性的 LLM 部署。该方法适用于多GPU集群环境，但对网络带宽要求较高。</w:t>
            </w:r>
          </w:p>
          <w:p w14:paraId="510E97EC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1.2.1 主要技术</w:t>
            </w:r>
          </w:p>
          <w:p w14:paraId="37E70A42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（1）解耦注意力和非注意力层：Infinite-LLM将注意力层和非注意力层分开，使得每一层可以独立进行资源调度，从而优化了内存利用和计算效率。</w:t>
            </w:r>
          </w:p>
          <w:p w14:paraId="3581516E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（2）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DistAttention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：该分布式注意力机制通过在GPU子块中局部进行注意力计算，仅共享必要的信息，避免了传统方法中由于大规模KV缓存传输而带来的通信开销。这种方法与传统的注意力机制数学上等价，但更具可扩展性。</w:t>
            </w:r>
          </w:p>
          <w:p w14:paraId="3D1DBF6E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（3）</w:t>
            </w:r>
            <w:proofErr w:type="gram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集群级资源</w:t>
            </w:r>
            <w:proofErr w:type="gram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调度：Infinite-LLM引入了一种</w:t>
            </w:r>
            <w:proofErr w:type="gram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集群级</w:t>
            </w:r>
            <w:proofErr w:type="gram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GPU内存池策略，使得任务所需的内存可以动态从其他GPU实例借用，从而提高了长上下文任务的内存利用率。</w:t>
            </w:r>
          </w:p>
          <w:p w14:paraId="3945A9F7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（4）吞吐量提升：评估结果显示，Infinite-LLM相比最先进的LLM服务方法在任务处理吞吐量方面有1.35-3.4倍的提升，尤其是在处理长上下文任务时表现尤为突出。</w:t>
            </w:r>
          </w:p>
          <w:p w14:paraId="40963BC0" w14:textId="63B5C6D3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noProof/>
                <w:color w:val="444444"/>
                <w:szCs w:val="21"/>
                <w:shd w:val="clear" w:color="auto" w:fill="FFFFFF"/>
              </w:rPr>
              <w:drawing>
                <wp:inline distT="0" distB="0" distL="0" distR="0" wp14:anchorId="342D500C" wp14:editId="56A69C40">
                  <wp:extent cx="4960961" cy="2768151"/>
                  <wp:effectExtent l="0" t="0" r="0" b="0"/>
                  <wp:docPr id="110150715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1135" cy="2773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7F187A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  <w:p w14:paraId="4CDAF775" w14:textId="77777777" w:rsidR="00FD6C93" w:rsidRPr="00FD6C93" w:rsidRDefault="00FD6C93" w:rsidP="00FD6C93">
            <w:pPr>
              <w:spacing w:line="300" w:lineRule="auto"/>
              <w:ind w:firstLineChars="200" w:firstLine="422"/>
              <w:jc w:val="left"/>
              <w:rPr>
                <w:rFonts w:ascii="宋体" w:hAnsi="宋体" w:cs="Arial"/>
                <w:b/>
                <w:bCs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b/>
                <w:bCs/>
                <w:color w:val="444444"/>
                <w:szCs w:val="21"/>
                <w:shd w:val="clear" w:color="auto" w:fill="FFFFFF"/>
              </w:rPr>
              <w:lastRenderedPageBreak/>
              <w:t xml:space="preserve">1.3 </w:t>
            </w:r>
            <w:proofErr w:type="spellStart"/>
            <w:r w:rsidRPr="00FD6C93">
              <w:rPr>
                <w:rFonts w:ascii="宋体" w:hAnsi="宋体" w:cs="Arial"/>
                <w:b/>
                <w:bCs/>
                <w:color w:val="444444"/>
                <w:szCs w:val="21"/>
                <w:shd w:val="clear" w:color="auto" w:fill="FFFFFF"/>
              </w:rPr>
              <w:t>PQCache</w:t>
            </w:r>
            <w:proofErr w:type="spellEnd"/>
          </w:p>
          <w:p w14:paraId="163D05AF" w14:textId="36CB6162" w:rsidR="00FD6C93" w:rsidRPr="00FD6C93" w:rsidRDefault="00FD6C93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PQCache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引入适用于长文本的基于产品量化(Product Quantization)的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，将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划分为子空间并聚类，利用近似最近邻搜索（Maximum Inner-Product Search, MIPS）快速检索关键Token。其核心目标是在保持模型性能的前提下，显著降低内存占用和跨设备通信开销。实验显示，其仅需1/5的Token参与注意力计算即可保持模型性能。</w:t>
            </w:r>
          </w:p>
          <w:p w14:paraId="013C3962" w14:textId="53939D50" w:rsidR="00FD6C93" w:rsidRPr="00FD6C93" w:rsidRDefault="00FD6C93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noProof/>
                <w:color w:val="444444"/>
                <w:szCs w:val="21"/>
                <w:shd w:val="clear" w:color="auto" w:fill="FFFFFF"/>
              </w:rPr>
              <w:drawing>
                <wp:inline distT="0" distB="0" distL="0" distR="0" wp14:anchorId="4964A198" wp14:editId="75261B7D">
                  <wp:extent cx="5189880" cy="1499614"/>
                  <wp:effectExtent l="0" t="0" r="0" b="0"/>
                  <wp:docPr id="157133823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2312" cy="1506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7222A4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1.3.1 预填充阶段：PQ结构构建</w:t>
            </w:r>
          </w:p>
          <w:p w14:paraId="7BA7D6B3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（1）键向量分块与聚类：</w:t>
            </w:r>
          </w:p>
          <w:p w14:paraId="70E496C6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对每个注意力头的键向量（维度为dh）进行分块，划分为m</w:t>
            </w:r>
            <w:proofErr w:type="gram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个</w:t>
            </w:r>
            <w:proofErr w:type="gram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子空间（如m=2m=2），每个子空间维度为dm=dh/m。</w:t>
            </w:r>
          </w:p>
          <w:p w14:paraId="0C790C9D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对每个子空间的键向量进行K-Means聚类，生成2b</w:t>
            </w:r>
            <w:proofErr w:type="gram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个</w:t>
            </w:r>
            <w:proofErr w:type="gram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中心点（centroids）。例如，b=6时每个子空间聚类数为64。</w:t>
            </w:r>
          </w:p>
          <w:p w14:paraId="1AE59F0E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存储每个键的PQ码（子空间聚类索引，总内存为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s×m×b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 xml:space="preserve"> bits）和中心点矩阵（内存为m×2b×dm）。</w:t>
            </w:r>
          </w:p>
          <w:p w14:paraId="7613A284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（2）与计算重叠：</w:t>
            </w:r>
          </w:p>
          <w:p w14:paraId="6A4E9843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在GPU执行注意力计算的同时，</w:t>
            </w:r>
            <w:proofErr w:type="gram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异步在</w:t>
            </w:r>
            <w:proofErr w:type="gram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CPU进行聚类，避免增加预填充延迟。</w:t>
            </w:r>
          </w:p>
          <w:p w14:paraId="42D5AC95" w14:textId="6106F58E" w:rsidR="00FD6C93" w:rsidRPr="00FD6C93" w:rsidRDefault="00FD6C93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自适应调整聚类迭代次数，确保K-Means时间不超过单层Transformer计算时间。</w:t>
            </w:r>
          </w:p>
          <w:p w14:paraId="1A4AB582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1.3.2 解码阶段：近似注意力计算</w:t>
            </w:r>
          </w:p>
          <w:p w14:paraId="3F220CDA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（1）查询-中心点内积计算：</w:t>
            </w:r>
          </w:p>
          <w:p w14:paraId="1853CBC2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对当前查询向量（Query）同样分块为m</w:t>
            </w:r>
            <w:proofErr w:type="gram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个</w:t>
            </w:r>
            <w:proofErr w:type="gram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子空间，分别与对应子空间的中心点计算内积，得到m×2b的分数矩阵。</w:t>
            </w:r>
          </w:p>
          <w:p w14:paraId="61BC8CAB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根据PQ</w:t>
            </w:r>
            <w:proofErr w:type="gram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码快速</w:t>
            </w:r>
            <w:proofErr w:type="gram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聚合各子空间分数，生成近似注意力分数（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Softmax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前）。</w:t>
            </w:r>
          </w:p>
          <w:p w14:paraId="196D68FF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（2）Top-k检索与数据获取：</w:t>
            </w:r>
          </w:p>
          <w:p w14:paraId="1561AF31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基于近似分数选择Top-k重要Token，从CPU内存中获取对应的</w:t>
            </w:r>
            <w:proofErr w:type="gram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完整键</w:t>
            </w:r>
            <w:proofErr w:type="gram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值对。</w:t>
            </w:r>
          </w:p>
          <w:p w14:paraId="5F8AB940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引入GPU</w:t>
            </w:r>
            <w:proofErr w:type="gram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块级缓存</w:t>
            </w:r>
            <w:proofErr w:type="gram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：将高频访问的Token块（如局部窗口内的Token）保留在GPU，采用LRU/LFU策略管理，减少PCIe传输。</w:t>
            </w:r>
          </w:p>
          <w:p w14:paraId="67F1ACE8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通信与计算重叠：</w:t>
            </w:r>
          </w:p>
          <w:p w14:paraId="3D832642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预取PQ码和中心点，与GPU解码计算并行执行。异步加载检索到的键值对，隐藏数据传输延迟。</w:t>
            </w:r>
          </w:p>
          <w:p w14:paraId="4CBCF480" w14:textId="77777777" w:rsidR="00FD6C93" w:rsidRPr="00FD6C93" w:rsidRDefault="00FD6C93" w:rsidP="00AF390B">
            <w:pPr>
              <w:spacing w:line="300" w:lineRule="auto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  <w:p w14:paraId="07FCB722" w14:textId="77777777" w:rsidR="00FD6C93" w:rsidRPr="00FD6C93" w:rsidRDefault="00FD6C93" w:rsidP="00FD6C93">
            <w:pPr>
              <w:spacing w:line="300" w:lineRule="auto"/>
              <w:ind w:firstLineChars="200" w:firstLine="422"/>
              <w:jc w:val="left"/>
              <w:rPr>
                <w:rFonts w:ascii="宋体" w:hAnsi="宋体" w:cs="Arial"/>
                <w:b/>
                <w:bCs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b/>
                <w:bCs/>
                <w:color w:val="444444"/>
                <w:szCs w:val="21"/>
                <w:shd w:val="clear" w:color="auto" w:fill="FFFFFF"/>
              </w:rPr>
              <w:t>1.4 H2O</w:t>
            </w:r>
          </w:p>
          <w:p w14:paraId="75F8A86F" w14:textId="63072D36" w:rsidR="00FD6C93" w:rsidRPr="00FD6C93" w:rsidRDefault="00FD6C93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H2O(Heavy-Hitter Oracle)，基于注意力分数动态</w:t>
            </w:r>
            <w:proofErr w:type="gram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丢弃低</w:t>
            </w:r>
            <w:proofErr w:type="gram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权重token，保留得分高的token(称为</w:t>
            </w: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lastRenderedPageBreak/>
              <w:t xml:space="preserve">Heavy 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Hittters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)，从而减少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的内存占用。但可能因信息丢失导致模型性能下降。</w:t>
            </w:r>
          </w:p>
          <w:p w14:paraId="5F62AE7F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1.4.1 主要技术</w:t>
            </w:r>
          </w:p>
          <w:p w14:paraId="67CD27DC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（1）重击词（H2）识别与缓存优化：论文发现，LLM 的注意力矩阵具有高度稀疏性，大多数注意力分数的贡献来自少数几项，称为“重击词”。这些重击</w:t>
            </w:r>
            <w:proofErr w:type="gram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词显著</w:t>
            </w:r>
            <w:proofErr w:type="gram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影响生成效果，因此对其进行保留至关重要。</w:t>
            </w:r>
          </w:p>
          <w:p w14:paraId="447F0813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（2）H2O驱逐策略：提出了一种基于H2的简单、低成本的缓存驱逐策略，称为H2O。该策略在每一步推理过程中根据局部统计信息动态选择保留的KV对，从而大幅减少了KV缓存的内存占用。</w:t>
            </w:r>
          </w:p>
          <w:p w14:paraId="5865A2FB" w14:textId="36DA733A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noProof/>
                <w:color w:val="444444"/>
                <w:szCs w:val="21"/>
                <w:shd w:val="clear" w:color="auto" w:fill="FFFFFF"/>
              </w:rPr>
              <w:drawing>
                <wp:inline distT="0" distB="0" distL="0" distR="0" wp14:anchorId="349817C4" wp14:editId="2441AAE9">
                  <wp:extent cx="5254388" cy="1982181"/>
                  <wp:effectExtent l="0" t="0" r="0" b="0"/>
                  <wp:docPr id="13871807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1883" cy="1985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2A6E78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  <w:p w14:paraId="4CDCD207" w14:textId="77777777" w:rsidR="00FD6C93" w:rsidRPr="00FD6C93" w:rsidRDefault="00FD6C93" w:rsidP="00FD6C93">
            <w:pPr>
              <w:spacing w:line="300" w:lineRule="auto"/>
              <w:ind w:firstLineChars="200" w:firstLine="422"/>
              <w:jc w:val="left"/>
              <w:rPr>
                <w:rFonts w:ascii="宋体" w:hAnsi="宋体" w:cs="Arial"/>
                <w:b/>
                <w:bCs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b/>
                <w:bCs/>
                <w:color w:val="444444"/>
                <w:szCs w:val="21"/>
                <w:shd w:val="clear" w:color="auto" w:fill="FFFFFF"/>
              </w:rPr>
              <w:t xml:space="preserve">1.5 </w:t>
            </w:r>
            <w:proofErr w:type="spellStart"/>
            <w:r w:rsidRPr="00FD6C93">
              <w:rPr>
                <w:rFonts w:ascii="宋体" w:hAnsi="宋体" w:cs="Arial"/>
                <w:b/>
                <w:bCs/>
                <w:color w:val="444444"/>
                <w:szCs w:val="21"/>
                <w:shd w:val="clear" w:color="auto" w:fill="FFFFFF"/>
              </w:rPr>
              <w:t>PowerInfer</w:t>
            </w:r>
            <w:proofErr w:type="spellEnd"/>
          </w:p>
          <w:p w14:paraId="0C66A068" w14:textId="06467AF3" w:rsidR="00FD6C93" w:rsidRPr="00FD6C93" w:rsidRDefault="00FD6C93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PowerInfer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的设计理念基于LLM推理过程中神经元激活的局部性特征。通过观察到神经元激活遵循</w:t>
            </w:r>
            <w:proofErr w:type="gram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幂</w:t>
            </w:r>
            <w:proofErr w:type="gram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律分布，少数“热激活神经元”在多个输入中持续被激活，而大部分“冷激活神经元”根据特定输入进行激活，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PowerInfer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通过预加载“热激活神经元”到GPU中，将“冷激活神经元”留给CPU计算，成功减轻了GPU内存压力并提高了推理速度。</w:t>
            </w:r>
          </w:p>
          <w:p w14:paraId="58247E9C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1.5.1 主要贡献</w:t>
            </w:r>
          </w:p>
          <w:p w14:paraId="0B1A15CB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（1）GPU-CPU混合推理引擎：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PowerInfer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采用GPU-CPU混合推理的方法，将“热激活神经元”加载到GPU中进行快速计算，而将“冷激活神经元”转移到CPU上处理。这种方式不仅减轻了GPU内存压力，还提高了数据传输效率，降低了GPU和CPU之间的传输延迟。</w:t>
            </w:r>
          </w:p>
          <w:p w14:paraId="02C2CE8A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（2）神经元激活</w:t>
            </w:r>
            <w:proofErr w:type="gram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预预测</w:t>
            </w:r>
            <w:proofErr w:type="gram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技术：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PowerInfer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引入了在线预测器，在推理过程中根据每层的激活模式预测哪些神经元会被激活。仅计算那些被预测为激活的神经元，避免了对不活跃神经元的计算，从而进一步加速了推理过程。</w:t>
            </w:r>
          </w:p>
          <w:p w14:paraId="067A23AE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（3）优化的神经元分配策略：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PowerInfer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设计了一种基于整数线性规划（ILP）的神经元分配策略，旨在将活跃度较高的神经元优先分配到GPU上进行处理，从而最大化GPU的计算效能，同时避免过多的数据传输。</w:t>
            </w:r>
          </w:p>
          <w:p w14:paraId="1B127270" w14:textId="58E768A2" w:rsidR="00FD6C93" w:rsidRPr="00FD6C93" w:rsidRDefault="00FD6C93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（4）高效的稀疏矩阵计算：通过引入针对神经元的稀疏矩阵计算操作，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PowerInfer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 xml:space="preserve"> 能够高效处理稀疏激活的神经元，减少了传统矩阵操作中的冗余计算，提升了性能。</w:t>
            </w:r>
          </w:p>
          <w:p w14:paraId="2DBCF809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1.5.2 系统设计与挑战</w:t>
            </w:r>
          </w:p>
          <w:p w14:paraId="45843C16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PowerInfer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的核心设计思想是利用神经元激活的稀疏性和局部性来优化LLM推理。每个推理步</w:t>
            </w: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lastRenderedPageBreak/>
              <w:t>骤只计算那些预测为激活的神经元，尤其是在小批量请求和低延迟场景中，GPU和CPU的资源使用更加高效。然而，实现这一目标也面临了一些挑战：</w:t>
            </w:r>
          </w:p>
          <w:p w14:paraId="7D01ECC5" w14:textId="77777777" w:rsidR="00FD6C93" w:rsidRPr="00FD6C93" w:rsidRDefault="00FD6C93" w:rsidP="00FD6C93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（1）在线</w:t>
            </w:r>
            <w:proofErr w:type="gram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预测器</w:t>
            </w:r>
            <w:proofErr w:type="gram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的内存占用：预测器用于识别每个层的活跃神经元，但它们会占用大量GPU内存。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PowerInfer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通过自适应调整</w:t>
            </w:r>
            <w:proofErr w:type="gram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预测器</w:t>
            </w:r>
            <w:proofErr w:type="gram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大小，并根据层的稀疏性调整其复杂度，有效解决了这一问题。</w:t>
            </w:r>
          </w:p>
          <w:p w14:paraId="169CFA12" w14:textId="77777777" w:rsidR="00D64DF1" w:rsidRDefault="00FD6C93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（2）稀疏操作的优化：传统的稀疏矩阵计算</w:t>
            </w:r>
            <w:proofErr w:type="gram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库往往</w:t>
            </w:r>
            <w:proofErr w:type="gram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不能很好地适应动态稀疏性，</w:t>
            </w:r>
            <w:proofErr w:type="spellStart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PowerInfer</w:t>
            </w:r>
            <w:proofErr w:type="spellEnd"/>
            <w:r w:rsidRPr="00FD6C93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通过设计“神经元感知稀疏操作”直接与单个神经元交互，避免了不必要的矩阵格式转换，提高了计算效率。</w:t>
            </w:r>
          </w:p>
          <w:p w14:paraId="19C30B51" w14:textId="77777777" w:rsidR="00AB38C3" w:rsidRDefault="00AB38C3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</w:pPr>
          </w:p>
          <w:p w14:paraId="64E0C005" w14:textId="4E71D6D2" w:rsidR="00EF1268" w:rsidRPr="00AB38C3" w:rsidRDefault="00EF1268" w:rsidP="00AF390B">
            <w:pPr>
              <w:spacing w:line="300" w:lineRule="auto"/>
              <w:ind w:firstLineChars="200" w:firstLine="422"/>
              <w:jc w:val="left"/>
              <w:rPr>
                <w:rFonts w:ascii="宋体" w:hAnsi="宋体" w:cs="Arial"/>
                <w:b/>
                <w:bCs/>
                <w:color w:val="444444"/>
                <w:szCs w:val="21"/>
                <w:shd w:val="clear" w:color="auto" w:fill="FFFFFF"/>
              </w:rPr>
            </w:pPr>
            <w:r w:rsidRPr="00AB38C3">
              <w:rPr>
                <w:rFonts w:ascii="宋体" w:hAnsi="宋体" w:cs="Arial" w:hint="eastAsia"/>
                <w:b/>
                <w:bCs/>
                <w:color w:val="444444"/>
                <w:szCs w:val="21"/>
                <w:shd w:val="clear" w:color="auto" w:fill="FFFFFF"/>
              </w:rPr>
              <w:t>参考文献：</w:t>
            </w:r>
          </w:p>
          <w:p w14:paraId="5943C458" w14:textId="5367D3A2" w:rsidR="00EF1268" w:rsidRDefault="00EF1268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EF1268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 xml:space="preserve">SONG Y, MI Z, XIE H, et al. </w:t>
            </w:r>
            <w:proofErr w:type="spellStart"/>
            <w:r w:rsidRPr="00EF1268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PowerInfer</w:t>
            </w:r>
            <w:proofErr w:type="spellEnd"/>
            <w:r w:rsidRPr="00EF1268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: Fast Large Language Model Serving with a Consumer-grade GPU *[J].</w:t>
            </w:r>
          </w:p>
          <w:p w14:paraId="094E12E2" w14:textId="713612D0" w:rsidR="00EF1268" w:rsidRDefault="00EF1268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EF1268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FENG Y, LV J, CAO Y, et al., 2024. Ada-KV: Optimizing KV Cache Eviction by Adaptive Budget Allocation for Efficient LLM Inference[J].</w:t>
            </w:r>
          </w:p>
          <w:p w14:paraId="0D9A01FE" w14:textId="1A3F8F41" w:rsidR="006C5097" w:rsidRDefault="006C5097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6C5097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 xml:space="preserve">XIAO C, ZHANG P, HAN X, et al., 2024. </w:t>
            </w:r>
            <w:proofErr w:type="spellStart"/>
            <w:r w:rsidRPr="006C5097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InfLLM</w:t>
            </w:r>
            <w:proofErr w:type="spellEnd"/>
            <w:r w:rsidRPr="006C5097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: Training-Free Long-Context Extrapolation for LLMs with an Efficient Context Memory[J].</w:t>
            </w:r>
          </w:p>
          <w:p w14:paraId="7BA2D6F8" w14:textId="04EAD08A" w:rsidR="00E770EB" w:rsidRDefault="00E770EB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E770E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ZHANG Z, SHENG Y, ZHOU T, et al., 2023. H2O: Heavy-Hitter Oracle for Efficient Generative Inference of Large Language Models[J].</w:t>
            </w:r>
          </w:p>
          <w:p w14:paraId="51670D0D" w14:textId="75E42617" w:rsidR="00E770EB" w:rsidRDefault="00E770EB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E770E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JIN Y, WANG T, LIN H, et al. P/D-Serve: Serving Disaggregated Large Language Model at Scale[J].</w:t>
            </w:r>
          </w:p>
          <w:p w14:paraId="3AD8A40A" w14:textId="083569AD" w:rsidR="00E770EB" w:rsidRDefault="00E770EB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E770E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 xml:space="preserve">ZHANG H, JI X, CHEN Y, et al. </w:t>
            </w:r>
            <w:proofErr w:type="spellStart"/>
            <w:r w:rsidRPr="00E770E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PQCache</w:t>
            </w:r>
            <w:proofErr w:type="spellEnd"/>
            <w:r w:rsidRPr="00E770E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 xml:space="preserve">: Product Quantization-based </w:t>
            </w:r>
            <w:proofErr w:type="spellStart"/>
            <w:r w:rsidRPr="00E770E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 w:rsidRPr="00E770E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 xml:space="preserve"> for Long Context LLM Inference[J].</w:t>
            </w:r>
          </w:p>
          <w:p w14:paraId="6C5E46EC" w14:textId="639D125A" w:rsidR="00E770EB" w:rsidRDefault="00E770EB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E770E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 xml:space="preserve">Anon. Infinite-LLM: Efficient LLM Service for Long Context with </w:t>
            </w:r>
            <w:proofErr w:type="spellStart"/>
            <w:r w:rsidRPr="00E770E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DistAttention</w:t>
            </w:r>
            <w:proofErr w:type="spellEnd"/>
            <w:r w:rsidRPr="00E770E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 xml:space="preserve"> and Distributed </w:t>
            </w:r>
            <w:proofErr w:type="spellStart"/>
            <w:r w:rsidRPr="00E770E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 w:rsidRPr="00E770E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[J].</w:t>
            </w:r>
          </w:p>
          <w:p w14:paraId="78CB85A7" w14:textId="0B0E34BF" w:rsidR="00E770EB" w:rsidRDefault="00E770EB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E770E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 xml:space="preserve">QIN R, LI Z, HE W, et al. Mooncake: A </w:t>
            </w:r>
            <w:proofErr w:type="spellStart"/>
            <w:r w:rsidRPr="00E770E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 w:rsidRPr="00E770E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-centric Disaggregated Architecture for LLM Serving[J].</w:t>
            </w:r>
          </w:p>
          <w:p w14:paraId="7D3DAC15" w14:textId="20727FA1" w:rsidR="00EF1268" w:rsidRPr="00A41077" w:rsidRDefault="00E770EB" w:rsidP="00E770EB">
            <w:pPr>
              <w:spacing w:line="300" w:lineRule="auto"/>
              <w:ind w:firstLineChars="200" w:firstLine="420"/>
              <w:jc w:val="left"/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</w:pPr>
            <w:r w:rsidRPr="00E770E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 xml:space="preserve">SONG Y, MI Z, XIE H, et al. </w:t>
            </w:r>
            <w:proofErr w:type="spellStart"/>
            <w:r w:rsidRPr="00E770E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PowerInfer</w:t>
            </w:r>
            <w:proofErr w:type="spellEnd"/>
            <w:r w:rsidRPr="00E770E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: Fast Large Language Model Serving with a Consumer-grade GPU *[J].</w:t>
            </w:r>
          </w:p>
        </w:tc>
      </w:tr>
      <w:tr w:rsidR="00F75393" w14:paraId="079CA1D5" w14:textId="77777777" w:rsidTr="007B3F7B">
        <w:trPr>
          <w:trHeight w:val="1248"/>
        </w:trPr>
        <w:tc>
          <w:tcPr>
            <w:tcW w:w="9356" w:type="dxa"/>
          </w:tcPr>
          <w:p w14:paraId="073816D2" w14:textId="77777777" w:rsidR="000C62FF" w:rsidRPr="000C62FF" w:rsidRDefault="00000000" w:rsidP="00385306">
            <w:pPr>
              <w:widowControl/>
              <w:tabs>
                <w:tab w:val="left" w:pos="420"/>
              </w:tabs>
              <w:spacing w:line="20" w:lineRule="atLeast"/>
              <w:jc w:val="left"/>
              <w:rPr>
                <w:rFonts w:ascii="宋体" w:hAnsi="宋体"/>
                <w:b/>
              </w:rPr>
            </w:pPr>
            <w:r w:rsidRPr="000C62FF">
              <w:rPr>
                <w:rFonts w:ascii="宋体" w:hAnsi="宋体"/>
              </w:rPr>
              <w:lastRenderedPageBreak/>
              <w:br w:type="page"/>
            </w:r>
            <w:r w:rsidRPr="000C62FF">
              <w:rPr>
                <w:rFonts w:ascii="宋体" w:hAnsi="宋体"/>
              </w:rPr>
              <w:br w:type="page"/>
            </w:r>
            <w:r w:rsidR="00385306" w:rsidRPr="00385306">
              <w:rPr>
                <w:rFonts w:ascii="宋体" w:hAnsi="宋体"/>
                <w:b/>
              </w:rPr>
              <w:t>2.</w:t>
            </w:r>
            <w:r w:rsidRPr="000C62FF">
              <w:rPr>
                <w:rFonts w:ascii="宋体" w:hAnsi="宋体" w:hint="eastAsia"/>
                <w:b/>
              </w:rPr>
              <w:t>毕业设计任务要研究或解决的问题和</w:t>
            </w:r>
            <w:proofErr w:type="gramStart"/>
            <w:r w:rsidRPr="000C62FF">
              <w:rPr>
                <w:rFonts w:ascii="宋体" w:hAnsi="宋体" w:hint="eastAsia"/>
                <w:b/>
              </w:rPr>
              <w:t>拟采用</w:t>
            </w:r>
            <w:proofErr w:type="gramEnd"/>
            <w:r w:rsidRPr="000C62FF">
              <w:rPr>
                <w:rFonts w:ascii="宋体" w:hAnsi="宋体" w:hint="eastAsia"/>
                <w:b/>
              </w:rPr>
              <w:t>的方法：</w:t>
            </w:r>
          </w:p>
          <w:p w14:paraId="369BCDA3" w14:textId="3D5C7DDD" w:rsidR="00AF390B" w:rsidRPr="00AF390B" w:rsidRDefault="00AF390B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2.1</w:t>
            </w:r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研究</w:t>
            </w:r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背景及</w:t>
            </w:r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问题</w:t>
            </w:r>
          </w:p>
          <w:p w14:paraId="122CC9B9" w14:textId="77777777" w:rsidR="00AF390B" w:rsidRPr="00AF390B" w:rsidRDefault="00AF390B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 xml:space="preserve">随着大语言模型（Large Language Models, LLMs）的上下文长度不断扩展（如从4K到数百万Token），键值缓存（Key-Value Cache, </w:t>
            </w:r>
            <w:proofErr w:type="spellStart"/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）的内存占用成为推理效率的核心瓶颈。</w:t>
            </w:r>
            <w:proofErr w:type="spellStart"/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存储自注意力机制中生成的键（Key）和值（Value），在自回归解码阶段重复利用以避免冗余计算。然而，长上下文场景下</w:t>
            </w:r>
            <w:proofErr w:type="spellStart"/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的内存需求呈线性增长，远超单GPU容量（例如，100万Token的上下文需要数百GB内存），导致推理延迟增加、吞吐量下降。如何高效管理</w:t>
            </w:r>
            <w:proofErr w:type="spellStart"/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，平衡内存占用与计算效率，成为当前研究的重点。</w:t>
            </w:r>
          </w:p>
          <w:p w14:paraId="5B437A13" w14:textId="77777777" w:rsidR="00AF390B" w:rsidRDefault="00AF390B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lastRenderedPageBreak/>
              <w:t>优化KV Cache可降低大模型部署成本，推动边缘设备（手机、机器人）应用。</w:t>
            </w:r>
          </w:p>
          <w:p w14:paraId="1F9B2662" w14:textId="77777777" w:rsidR="00AF390B" w:rsidRPr="00AF390B" w:rsidRDefault="00AF390B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  <w:p w14:paraId="46AF09C3" w14:textId="066C102F" w:rsidR="00AF390B" w:rsidRPr="00AF390B" w:rsidRDefault="00AF390B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2.2</w:t>
            </w:r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研究内容与技术路线</w:t>
            </w:r>
          </w:p>
          <w:p w14:paraId="44165608" w14:textId="77777777" w:rsidR="00AF390B" w:rsidRPr="00AF390B" w:rsidRDefault="00AF390B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核心目标：提出并设计一种新型的</w:t>
            </w:r>
            <w:proofErr w:type="spellStart"/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卸载机制，或是</w:t>
            </w:r>
            <w:proofErr w:type="spellStart"/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动态管理、调度算法，缓解GPU缓存压力</w:t>
            </w:r>
          </w:p>
          <w:p w14:paraId="27EF42BB" w14:textId="45E98A38" w:rsidR="00AF390B" w:rsidRPr="00AF390B" w:rsidRDefault="00AF390B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拟采用的方法：</w:t>
            </w:r>
          </w:p>
          <w:p w14:paraId="20DFC0E6" w14:textId="77777777" w:rsidR="00AF390B" w:rsidRPr="00AF390B" w:rsidRDefault="00AF390B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（1）基于注意力熵的动态淘汰策略</w:t>
            </w:r>
          </w:p>
          <w:p w14:paraId="42F7FD8A" w14:textId="77777777" w:rsidR="00AF390B" w:rsidRPr="00AF390B" w:rsidRDefault="00AF390B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方法：类比H2O的策略，实时计算每个KV对的注意力熵，淘汰熵值低于阈值的条目。</w:t>
            </w:r>
          </w:p>
          <w:p w14:paraId="3EC663A3" w14:textId="77777777" w:rsidR="00AF390B" w:rsidRPr="00AF390B" w:rsidRDefault="00AF390B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创新点：结合信息论指标（熵）替代人工规则，提升淘汰策略的合理性。</w:t>
            </w:r>
          </w:p>
          <w:p w14:paraId="5BE92926" w14:textId="77777777" w:rsidR="00AF390B" w:rsidRPr="00AF390B" w:rsidRDefault="00AF390B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（2）KV Cache与计算卸载协同优化</w:t>
            </w:r>
          </w:p>
          <w:p w14:paraId="1ADC74D8" w14:textId="77777777" w:rsidR="00AF390B" w:rsidRPr="00AF390B" w:rsidRDefault="00AF390B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方法：参考</w:t>
            </w:r>
            <w:proofErr w:type="spellStart"/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PowerInfer</w:t>
            </w:r>
            <w:proofErr w:type="spellEnd"/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、Mooncake思路，将低频KV对卸载至CPU内存，按需加载。</w:t>
            </w:r>
          </w:p>
          <w:p w14:paraId="167B3460" w14:textId="77777777" w:rsidR="00AF390B" w:rsidRPr="00AF390B" w:rsidRDefault="00AF390B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创新点：设计GPU-CPU异步传输流水线，降低数据搬运延迟。</w:t>
            </w:r>
          </w:p>
          <w:p w14:paraId="0F94F94E" w14:textId="3A732D29" w:rsidR="00AF390B" w:rsidRDefault="004A5C29" w:rsidP="00AF390B">
            <w:pPr>
              <w:spacing w:line="300" w:lineRule="auto"/>
              <w:ind w:firstLineChars="200" w:firstLine="420"/>
              <w:jc w:val="left"/>
              <w:rPr>
                <w:color w:val="444444"/>
                <w:szCs w:val="21"/>
                <w:shd w:val="clear" w:color="auto" w:fill="FFFFFF"/>
              </w:rPr>
            </w:pPr>
            <w:r>
              <w:rPr>
                <w:rFonts w:hint="eastAsia"/>
                <w:color w:val="444444"/>
                <w:szCs w:val="21"/>
                <w:shd w:val="clear" w:color="auto" w:fill="FFFFFF"/>
              </w:rPr>
              <w:t>主要</w:t>
            </w:r>
            <w:r w:rsidR="00AF390B">
              <w:rPr>
                <w:rFonts w:hint="eastAsia"/>
                <w:color w:val="444444"/>
                <w:szCs w:val="21"/>
                <w:shd w:val="clear" w:color="auto" w:fill="FFFFFF"/>
              </w:rPr>
              <w:t>指标：</w:t>
            </w:r>
          </w:p>
          <w:p w14:paraId="2B7CBEEA" w14:textId="34F6A509" w:rsidR="00AF390B" w:rsidRPr="00AF390B" w:rsidRDefault="00AF390B" w:rsidP="00AF390B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AF390B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短序列文本推理延迟在1s内</w:t>
            </w:r>
          </w:p>
          <w:p w14:paraId="0DD03562" w14:textId="77777777" w:rsidR="007B3F7B" w:rsidRPr="00D64DF1" w:rsidRDefault="007B3F7B" w:rsidP="00EB48E5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</w:tc>
      </w:tr>
      <w:tr w:rsidR="00F75393" w14:paraId="21CCD7AF" w14:textId="77777777" w:rsidTr="007B3F7B">
        <w:trPr>
          <w:trHeight w:val="2440"/>
        </w:trPr>
        <w:tc>
          <w:tcPr>
            <w:tcW w:w="9356" w:type="dxa"/>
          </w:tcPr>
          <w:p w14:paraId="1EF928D2" w14:textId="77777777" w:rsidR="002A26C5" w:rsidRDefault="00000000" w:rsidP="002A26C5">
            <w:pPr>
              <w:spacing w:line="30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指导教师评价及意见</w:t>
            </w:r>
            <w:r>
              <w:rPr>
                <w:rFonts w:hint="eastAsia"/>
                <w:b/>
                <w:sz w:val="24"/>
                <w:szCs w:val="24"/>
              </w:rPr>
              <w:t>:</w:t>
            </w:r>
          </w:p>
          <w:p w14:paraId="579FBBDB" w14:textId="77777777" w:rsidR="002A26C5" w:rsidRPr="00FD5538" w:rsidRDefault="00000000" w:rsidP="002A26C5">
            <w:pPr>
              <w:spacing w:line="300" w:lineRule="auto"/>
              <w:ind w:firstLineChars="200" w:firstLine="422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5E30A3">
              <w:rPr>
                <w:rFonts w:ascii="宋体" w:hAnsi="宋体" w:cs="Arial" w:hint="eastAsia"/>
                <w:b/>
                <w:color w:val="000000"/>
                <w:szCs w:val="21"/>
                <w:shd w:val="clear" w:color="auto" w:fill="FFFFFF"/>
              </w:rPr>
              <w:t>课题难度：</w:t>
            </w:r>
            <w:r w:rsidRPr="00FD5538"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 xml:space="preserve"> </w:t>
            </w:r>
          </w:p>
          <w:p w14:paraId="25F6A9E9" w14:textId="77777777" w:rsidR="002A26C5" w:rsidRPr="00FD5538" w:rsidRDefault="00000000" w:rsidP="002A26C5">
            <w:pPr>
              <w:spacing w:line="300" w:lineRule="auto"/>
              <w:ind w:firstLineChars="200" w:firstLine="422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5E30A3">
              <w:rPr>
                <w:rFonts w:ascii="宋体" w:hAnsi="宋体" w:cs="Arial" w:hint="eastAsia"/>
                <w:b/>
                <w:color w:val="000000"/>
                <w:szCs w:val="21"/>
                <w:shd w:val="clear" w:color="auto" w:fill="FFFFFF"/>
              </w:rPr>
              <w:t>课题工作量</w:t>
            </w:r>
            <w:r w:rsidRPr="00FD5538"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：</w:t>
            </w:r>
          </w:p>
          <w:p w14:paraId="02E111F6" w14:textId="77777777" w:rsidR="002A26C5" w:rsidRPr="00FD5538" w:rsidRDefault="00000000" w:rsidP="002A26C5">
            <w:pPr>
              <w:spacing w:line="300" w:lineRule="auto"/>
              <w:ind w:firstLineChars="200" w:firstLine="422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5E30A3">
              <w:rPr>
                <w:rFonts w:ascii="宋体" w:hAnsi="宋体" w:cs="Arial" w:hint="eastAsia"/>
                <w:b/>
                <w:color w:val="000000"/>
                <w:szCs w:val="21"/>
                <w:shd w:val="clear" w:color="auto" w:fill="FFFFFF"/>
              </w:rPr>
              <w:t>总体评价：</w:t>
            </w:r>
            <w:r w:rsidRPr="00FD5538"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 xml:space="preserve">  </w:t>
            </w:r>
          </w:p>
          <w:p w14:paraId="0F7AB455" w14:textId="77777777" w:rsidR="002A26C5" w:rsidRPr="00FD5538" w:rsidRDefault="002A26C5" w:rsidP="002A26C5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  <w:p w14:paraId="7164C991" w14:textId="77777777" w:rsidR="002A26C5" w:rsidRPr="005E30A3" w:rsidRDefault="00000000" w:rsidP="002A26C5">
            <w:pPr>
              <w:spacing w:line="300" w:lineRule="auto"/>
              <w:ind w:firstLineChars="200" w:firstLine="422"/>
              <w:jc w:val="left"/>
              <w:rPr>
                <w:rFonts w:ascii="宋体" w:hAnsi="宋体" w:cs="Arial"/>
                <w:b/>
                <w:color w:val="000000"/>
                <w:szCs w:val="21"/>
                <w:shd w:val="clear" w:color="auto" w:fill="FFFFFF"/>
              </w:rPr>
            </w:pPr>
            <w:r w:rsidRPr="005E30A3">
              <w:rPr>
                <w:rFonts w:ascii="宋体" w:hAnsi="宋体" w:cs="Arial" w:hint="eastAsia"/>
                <w:b/>
                <w:color w:val="000000"/>
                <w:szCs w:val="21"/>
                <w:shd w:val="clear" w:color="auto" w:fill="FFFFFF"/>
              </w:rPr>
              <w:t>其他意见：</w:t>
            </w:r>
          </w:p>
          <w:p w14:paraId="4295A25B" w14:textId="77777777" w:rsidR="002A26C5" w:rsidRPr="005E30A3" w:rsidRDefault="002A26C5" w:rsidP="002A26C5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color w:val="000000"/>
                <w:szCs w:val="21"/>
                <w:shd w:val="clear" w:color="auto" w:fill="FFFFFF"/>
              </w:rPr>
            </w:pPr>
          </w:p>
          <w:p w14:paraId="01825F72" w14:textId="77777777" w:rsidR="002A26C5" w:rsidRPr="005E30A3" w:rsidRDefault="002A26C5" w:rsidP="002A26C5">
            <w:pPr>
              <w:spacing w:line="300" w:lineRule="auto"/>
              <w:ind w:firstLineChars="200" w:firstLine="480"/>
              <w:jc w:val="left"/>
              <w:rPr>
                <w:rFonts w:ascii="宋体" w:hAnsi="宋体" w:cs="Arial"/>
                <w:color w:val="000000"/>
                <w:sz w:val="24"/>
                <w:szCs w:val="24"/>
                <w:shd w:val="clear" w:color="auto" w:fill="FFFFFF"/>
              </w:rPr>
            </w:pPr>
          </w:p>
          <w:p w14:paraId="0194387D" w14:textId="77777777" w:rsidR="002A26C5" w:rsidRPr="005E30A3" w:rsidRDefault="00000000" w:rsidP="002A26C5">
            <w:pPr>
              <w:spacing w:line="300" w:lineRule="auto"/>
              <w:ind w:firstLineChars="200" w:firstLine="420"/>
              <w:jc w:val="left"/>
              <w:rPr>
                <w:rFonts w:ascii="宋体" w:hAnsi="宋体" w:cs="Arial"/>
                <w:b/>
                <w:color w:val="000000"/>
                <w:szCs w:val="21"/>
                <w:shd w:val="clear" w:color="auto" w:fill="FFFFFF"/>
              </w:rPr>
            </w:pPr>
            <w:r w:rsidRPr="005E30A3">
              <w:rPr>
                <w:rFonts w:hint="eastAsia"/>
                <w:color w:val="000000"/>
                <w:szCs w:val="21"/>
              </w:rPr>
              <w:t>（说明：教师在系统中勾选后，学生才能打印）</w:t>
            </w:r>
          </w:p>
          <w:p w14:paraId="2E47BCFF" w14:textId="77777777" w:rsidR="007B3F7B" w:rsidRDefault="00000000" w:rsidP="00A41077">
            <w:pPr>
              <w:tabs>
                <w:tab w:val="right" w:pos="-3130"/>
                <w:tab w:val="left" w:pos="2990"/>
                <w:tab w:val="right" w:pos="7130"/>
                <w:tab w:val="right" w:pos="7850"/>
                <w:tab w:val="right" w:pos="8570"/>
                <w:tab w:val="left" w:pos="11990"/>
              </w:tabs>
              <w:spacing w:before="100" w:beforeAutospacing="1" w:after="100" w:afterAutospacing="1" w:line="60" w:lineRule="atLeast"/>
              <w:ind w:rightChars="177" w:right="372" w:firstLineChars="1100" w:firstLine="264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0C62FF">
              <w:rPr>
                <w:rFonts w:ascii="宋体" w:hAnsi="宋体" w:hint="eastAsia"/>
                <w:sz w:val="24"/>
                <w:szCs w:val="24"/>
              </w:rPr>
              <w:t>指导教师签字:</w:t>
            </w:r>
            <w:r w:rsidRPr="000C62FF">
              <w:rPr>
                <w:rFonts w:ascii="宋体" w:hAnsi="宋体" w:cs="Arial"/>
                <w:color w:val="44444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hAnsi="宋体" w:cs="Arial"/>
                <w:color w:val="444444"/>
                <w:sz w:val="18"/>
                <w:szCs w:val="18"/>
                <w:shd w:val="clear" w:color="auto" w:fill="FFFFFF"/>
              </w:rPr>
              <w:t xml:space="preserve">  </w:t>
            </w:r>
          </w:p>
          <w:p w14:paraId="112A60B6" w14:textId="77777777" w:rsidR="007B3F7B" w:rsidRPr="007B3F7B" w:rsidRDefault="007B3F7B" w:rsidP="00A41077">
            <w:pPr>
              <w:tabs>
                <w:tab w:val="right" w:pos="-3130"/>
                <w:tab w:val="left" w:pos="2990"/>
                <w:tab w:val="right" w:pos="7130"/>
                <w:tab w:val="right" w:pos="7850"/>
                <w:tab w:val="right" w:pos="8570"/>
                <w:tab w:val="left" w:pos="11990"/>
              </w:tabs>
              <w:spacing w:before="100" w:beforeAutospacing="1" w:after="100" w:afterAutospacing="1" w:line="60" w:lineRule="atLeast"/>
              <w:ind w:rightChars="177" w:right="372"/>
              <w:jc w:val="righ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</w:tc>
      </w:tr>
      <w:tr w:rsidR="00F75393" w14:paraId="27CA27BE" w14:textId="77777777" w:rsidTr="007B3F7B">
        <w:trPr>
          <w:trHeight w:val="2545"/>
        </w:trPr>
        <w:tc>
          <w:tcPr>
            <w:tcW w:w="9356" w:type="dxa"/>
          </w:tcPr>
          <w:p w14:paraId="4A7B2130" w14:textId="77777777" w:rsidR="007B3F7B" w:rsidRPr="000C62FF" w:rsidRDefault="00000000">
            <w:pPr>
              <w:spacing w:before="100" w:beforeAutospacing="1" w:after="100" w:afterAutospacing="1" w:line="60" w:lineRule="atLeast"/>
              <w:rPr>
                <w:rFonts w:ascii="宋体" w:hAnsi="宋体"/>
                <w:b/>
                <w:sz w:val="24"/>
                <w:szCs w:val="24"/>
              </w:rPr>
            </w:pPr>
            <w:r w:rsidRPr="000C62FF">
              <w:rPr>
                <w:rFonts w:ascii="宋体" w:hAnsi="宋体" w:hint="eastAsia"/>
                <w:b/>
                <w:sz w:val="24"/>
              </w:rPr>
              <w:t>系审查意见：</w:t>
            </w:r>
          </w:p>
          <w:p w14:paraId="70B51101" w14:textId="77777777" w:rsidR="007B3F7B" w:rsidRPr="000C62FF" w:rsidRDefault="007B3F7B" w:rsidP="000C62FF">
            <w:pPr>
              <w:spacing w:line="300" w:lineRule="auto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6D5A3E5C" w14:textId="77777777" w:rsidR="007B3F7B" w:rsidRDefault="00000000" w:rsidP="00A41077">
            <w:pPr>
              <w:tabs>
                <w:tab w:val="right" w:pos="-3130"/>
                <w:tab w:val="left" w:pos="3240"/>
                <w:tab w:val="right" w:pos="7130"/>
                <w:tab w:val="right" w:pos="7850"/>
                <w:tab w:val="right" w:pos="8570"/>
              </w:tabs>
              <w:spacing w:before="100" w:beforeAutospacing="1" w:after="100" w:afterAutospacing="1" w:line="60" w:lineRule="atLeast"/>
              <w:ind w:rightChars="177" w:right="372" w:firstLineChars="1100" w:firstLine="264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0C62FF">
              <w:rPr>
                <w:rFonts w:ascii="宋体" w:hAnsi="宋体" w:cs="Arial" w:hint="eastAsia"/>
                <w:color w:val="444444"/>
                <w:sz w:val="24"/>
                <w:szCs w:val="24"/>
                <w:shd w:val="clear" w:color="auto" w:fill="FFFFFF"/>
              </w:rPr>
              <w:t>系主任签字：</w:t>
            </w:r>
            <w:r>
              <w:rPr>
                <w:rFonts w:ascii="宋体" w:hAnsi="宋体" w:cs="Arial" w:hint="eastAsia"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宋体" w:hAnsi="宋体" w:cs="Arial"/>
                <w:color w:val="444444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3A1737F3" w14:textId="77777777" w:rsidR="007B3F7B" w:rsidRPr="000C62FF" w:rsidRDefault="007B3F7B" w:rsidP="00A41077">
            <w:pPr>
              <w:tabs>
                <w:tab w:val="right" w:pos="-3130"/>
                <w:tab w:val="left" w:pos="3240"/>
                <w:tab w:val="right" w:pos="7130"/>
                <w:tab w:val="right" w:pos="7850"/>
                <w:tab w:val="right" w:pos="8570"/>
              </w:tabs>
              <w:spacing w:before="100" w:beforeAutospacing="1" w:after="100" w:afterAutospacing="1" w:line="60" w:lineRule="atLeast"/>
              <w:ind w:rightChars="177" w:right="372"/>
              <w:jc w:val="right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 w14:paraId="11635BEC" w14:textId="77777777" w:rsidR="00C0395C" w:rsidRDefault="00000000">
      <w:pPr>
        <w:tabs>
          <w:tab w:val="left" w:pos="900"/>
        </w:tabs>
        <w:spacing w:line="300" w:lineRule="auto"/>
        <w:ind w:leftChars="81" w:left="170"/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开题报告作为毕业设计（论文）答辩委员会对学生答辩资格审查的依据材料之一，</w:t>
      </w:r>
    </w:p>
    <w:p w14:paraId="2BCA338B" w14:textId="77777777" w:rsidR="00B80836" w:rsidRDefault="00000000" w:rsidP="00EB48E5">
      <w:pPr>
        <w:tabs>
          <w:tab w:val="left" w:pos="900"/>
        </w:tabs>
        <w:spacing w:line="300" w:lineRule="auto"/>
        <w:ind w:leftChars="81" w:left="17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此报告应在导师指导下，由学生填写，经导师签署意见及系审查后生效。</w:t>
      </w:r>
    </w:p>
    <w:sectPr w:rsidR="00B80836">
      <w:pgSz w:w="11906" w:h="16838"/>
      <w:pgMar w:top="1134" w:right="1134" w:bottom="1418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0688E"/>
    <w:multiLevelType w:val="multilevel"/>
    <w:tmpl w:val="3650688E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98581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03E"/>
    <w:rsid w:val="00066907"/>
    <w:rsid w:val="00094F97"/>
    <w:rsid w:val="000B6C8A"/>
    <w:rsid w:val="000C62FF"/>
    <w:rsid w:val="001042A7"/>
    <w:rsid w:val="00177524"/>
    <w:rsid w:val="001A26B5"/>
    <w:rsid w:val="002A26C5"/>
    <w:rsid w:val="003423B2"/>
    <w:rsid w:val="00355A39"/>
    <w:rsid w:val="00385306"/>
    <w:rsid w:val="003C47C8"/>
    <w:rsid w:val="00404270"/>
    <w:rsid w:val="00442F64"/>
    <w:rsid w:val="00461A9E"/>
    <w:rsid w:val="00476A05"/>
    <w:rsid w:val="00483FDF"/>
    <w:rsid w:val="004A5C29"/>
    <w:rsid w:val="005D3B35"/>
    <w:rsid w:val="005E30A3"/>
    <w:rsid w:val="005E37A1"/>
    <w:rsid w:val="005F28DB"/>
    <w:rsid w:val="006A624A"/>
    <w:rsid w:val="006B3D84"/>
    <w:rsid w:val="006C5097"/>
    <w:rsid w:val="006F3CBD"/>
    <w:rsid w:val="007142F4"/>
    <w:rsid w:val="00714595"/>
    <w:rsid w:val="0079662D"/>
    <w:rsid w:val="007B3F7B"/>
    <w:rsid w:val="007C203E"/>
    <w:rsid w:val="00824511"/>
    <w:rsid w:val="008639EC"/>
    <w:rsid w:val="008B5888"/>
    <w:rsid w:val="008B7EA8"/>
    <w:rsid w:val="008C5166"/>
    <w:rsid w:val="00924F7C"/>
    <w:rsid w:val="009308E7"/>
    <w:rsid w:val="0094435D"/>
    <w:rsid w:val="00952B39"/>
    <w:rsid w:val="00955131"/>
    <w:rsid w:val="00964855"/>
    <w:rsid w:val="0096622D"/>
    <w:rsid w:val="00A07F72"/>
    <w:rsid w:val="00A41077"/>
    <w:rsid w:val="00AA21C5"/>
    <w:rsid w:val="00AB38C3"/>
    <w:rsid w:val="00AD46B8"/>
    <w:rsid w:val="00AD4ADD"/>
    <w:rsid w:val="00AF390B"/>
    <w:rsid w:val="00AF6121"/>
    <w:rsid w:val="00B20C0F"/>
    <w:rsid w:val="00B80836"/>
    <w:rsid w:val="00B80DEC"/>
    <w:rsid w:val="00B95F45"/>
    <w:rsid w:val="00BA1E02"/>
    <w:rsid w:val="00BF3AFE"/>
    <w:rsid w:val="00C0395C"/>
    <w:rsid w:val="00C60BCD"/>
    <w:rsid w:val="00CB4F1D"/>
    <w:rsid w:val="00CE215C"/>
    <w:rsid w:val="00D25806"/>
    <w:rsid w:val="00D31B50"/>
    <w:rsid w:val="00D44BE4"/>
    <w:rsid w:val="00D64DF1"/>
    <w:rsid w:val="00DB7B37"/>
    <w:rsid w:val="00E01210"/>
    <w:rsid w:val="00E105E6"/>
    <w:rsid w:val="00E63B8B"/>
    <w:rsid w:val="00E770EB"/>
    <w:rsid w:val="00EB0F31"/>
    <w:rsid w:val="00EB48E5"/>
    <w:rsid w:val="00EC5E04"/>
    <w:rsid w:val="00EE7485"/>
    <w:rsid w:val="00EF1268"/>
    <w:rsid w:val="00F26E36"/>
    <w:rsid w:val="00F75393"/>
    <w:rsid w:val="00FB3C5C"/>
    <w:rsid w:val="00FD5538"/>
    <w:rsid w:val="00FD6C93"/>
    <w:rsid w:val="4D4F64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E0F9"/>
  <w15:docId w15:val="{0A866F90-F661-4739-AAE4-537357B3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D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FooterChar">
    <w:name w:val="Footer Char"/>
    <w:link w:val="Footer"/>
    <w:uiPriority w:val="99"/>
    <w:rPr>
      <w:rFonts w:ascii="Times New Roman" w:hAnsi="Times New Roman"/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2FF"/>
    <w:rPr>
      <w:rFonts w:ascii="宋体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62FF"/>
    <w:rPr>
      <w:rFonts w:ascii="宋体" w:hAnsi="Times New Roman"/>
      <w:kern w:val="2"/>
      <w:sz w:val="18"/>
      <w:szCs w:val="18"/>
    </w:rPr>
  </w:style>
  <w:style w:type="character" w:customStyle="1" w:styleId="Heading3Char">
    <w:name w:val="Heading 3 Char"/>
    <w:link w:val="Heading3"/>
    <w:uiPriority w:val="9"/>
    <w:semiHidden/>
    <w:rsid w:val="00D64DF1"/>
    <w:rPr>
      <w:rFonts w:ascii="Times New Roman" w:hAnsi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878</Words>
  <Characters>5006</Characters>
  <Application>Microsoft Office Word</Application>
  <DocSecurity>0</DocSecurity>
  <Lines>41</Lines>
  <Paragraphs>11</Paragraphs>
  <ScaleCrop>false</ScaleCrop>
  <Company>nuaa</Company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南京航空航天大学</dc:title>
  <dc:creator>xwing</dc:creator>
  <cp:lastModifiedBy>y0ung 12</cp:lastModifiedBy>
  <cp:revision>31</cp:revision>
  <dcterms:created xsi:type="dcterms:W3CDTF">2019-09-08T09:30:00Z</dcterms:created>
  <dcterms:modified xsi:type="dcterms:W3CDTF">2025-03-25T01:38:00Z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2052-11.1.0.9069</vt:lpwstr>
  </property>
</Properties>
</file>