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Peps Industries — Product Contribution Automation</w:t>
      </w:r>
    </w:p>
    <w:p>
      <w:pPr>
        <w:jc w:val="center"/>
      </w:pPr>
      <w:r>
        <w:rPr>
          <w:b/>
          <w:i w:val="0"/>
          <w:sz w:val="30"/>
        </w:rPr>
        <w:t>Margin Leakage Analysis &amp; Remediation Roadmap</w:t>
      </w:r>
    </w:p>
    <w:p>
      <w:pPr>
        <w:jc w:val="center"/>
      </w:pPr>
      <w:r>
        <w:rPr>
          <w:b w:val="0"/>
          <w:i/>
          <w:sz w:val="20"/>
        </w:rPr>
        <w:t>Based on the current build: engine.py / config.py / sku_master.py / runner.py / peps_contribution_tool.html</w:t>
      </w:r>
    </w:p>
    <w:p>
      <w:pPr>
        <w:jc w:val="center"/>
      </w:pPr>
      <w:r>
        <w:rPr>
          <w:b w:val="0"/>
          <w:i/>
          <w:sz w:val="20"/>
        </w:rPr>
        <w:t>Prepared: 07-Jul-2026  |  Scope: Peps Spring, Cirrus Foam, Italiano, Accessories (54 SKUs, South DIS channel)</w:t>
      </w:r>
    </w:p>
    <w:p/>
    <w:p>
      <w:r>
        <w:rPr>
          <w:b w:val="0"/>
          <w:i w:val="0"/>
          <w:sz w:val="21"/>
        </w:rPr>
        <w:t>How to read this document: "Leakage" is used in two senses here — (A) the normal, expected margin bridge from MRP down to Net Margin (trade discounts, statutory taxes, schemes, overheads — the money that legitimately leaves the MRP rupee before it becomes profit), and (C) leakage in the automation build itself — gaps in the code/process that could cause the tool to silently show the wrong number to the MD/COO. Every line item below quotes the exact current logic from the codebase, so nothing here requires re-deriving the formulas.</w:t>
      </w:r>
    </w:p>
    <w:p>
      <w:r>
        <w:br w:type="page"/>
      </w:r>
    </w:p>
    <w:p>
      <w:pPr>
        <w:pStyle w:val="Heading1"/>
      </w:pPr>
      <w:r>
        <w:t>Executive Summary</w:t>
      </w:r>
    </w:p>
    <w:p>
      <w:r>
        <w:rPr>
          <w:b w:val="0"/>
          <w:i w:val="0"/>
          <w:sz w:val="21"/>
        </w:rPr>
        <w:t>The engine currently computes 54 SKUs (sku_master.py — note: project docs say "53 SKUs"; the file actually holds 54 records, see §C.7). Validation passes 13 of 14 source-sheet targets. Under the present South-DIS rate card, 4 of 54 SKUs are loss-making or effectively at break-even:</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3402"/>
            <w:shd w:val="clear" w:color="auto" w:fill="8B1E1E"/>
          </w:tcPr>
          <w:p>
            <w:r/>
            <w:r>
              <w:rPr>
                <w:b/>
                <w:color w:val="FFFFFF"/>
                <w:sz w:val="19"/>
              </w:rPr>
              <w:t>Product</w:t>
            </w:r>
          </w:p>
        </w:tc>
        <w:tc>
          <w:tcPr>
            <w:tcW w:type="dxa" w:w="2268"/>
            <w:shd w:val="clear" w:color="auto" w:fill="8B1E1E"/>
          </w:tcPr>
          <w:p>
            <w:r/>
            <w:r>
              <w:rPr>
                <w:b/>
                <w:color w:val="FFFFFF"/>
                <w:sz w:val="19"/>
              </w:rPr>
              <w:t>Brand</w:t>
            </w:r>
          </w:p>
        </w:tc>
        <w:tc>
          <w:tcPr>
            <w:tcW w:type="dxa" w:w="1701"/>
            <w:shd w:val="clear" w:color="auto" w:fill="8B1E1E"/>
          </w:tcPr>
          <w:p>
            <w:r/>
            <w:r>
              <w:rPr>
                <w:b/>
                <w:color w:val="FFFFFF"/>
                <w:sz w:val="19"/>
              </w:rPr>
              <w:t>Net Margin %</w:t>
            </w:r>
          </w:p>
        </w:tc>
        <w:tc>
          <w:tcPr>
            <w:tcW w:type="dxa" w:w="1701"/>
            <w:shd w:val="clear" w:color="auto" w:fill="8B1E1E"/>
          </w:tcPr>
          <w:p>
            <w:r/>
            <w:r>
              <w:rPr>
                <w:b/>
                <w:color w:val="FFFFFF"/>
                <w:sz w:val="19"/>
              </w:rPr>
              <w:t>Flag</w:t>
            </w:r>
          </w:p>
        </w:tc>
      </w:tr>
      <w:tr>
        <w:tc>
          <w:tcPr>
            <w:tcW w:type="dxa" w:w="3402"/>
          </w:tcPr>
          <w:p>
            <w:r/>
            <w:r>
              <w:rPr>
                <w:sz w:val="18"/>
              </w:rPr>
              <w:t>Fleece Blanket 90x100</w:t>
            </w:r>
          </w:p>
        </w:tc>
        <w:tc>
          <w:tcPr>
            <w:tcW w:type="dxa" w:w="2268"/>
          </w:tcPr>
          <w:p>
            <w:r/>
            <w:r>
              <w:rPr>
                <w:sz w:val="18"/>
              </w:rPr>
              <w:t>Accessories</w:t>
            </w:r>
          </w:p>
        </w:tc>
        <w:tc>
          <w:tcPr>
            <w:tcW w:type="dxa" w:w="1701"/>
          </w:tcPr>
          <w:p>
            <w:r/>
            <w:r>
              <w:rPr>
                <w:sz w:val="18"/>
              </w:rPr>
              <w:t>-13.23%</w:t>
            </w:r>
          </w:p>
        </w:tc>
        <w:tc>
          <w:tcPr>
            <w:tcW w:type="dxa" w:w="1701"/>
          </w:tcPr>
          <w:p>
            <w:r/>
            <w:r>
              <w:rPr>
                <w:sz w:val="18"/>
              </w:rPr>
              <w:t>LOSS</w:t>
            </w:r>
          </w:p>
        </w:tc>
      </w:tr>
      <w:tr>
        <w:tc>
          <w:tcPr>
            <w:tcW w:type="dxa" w:w="3402"/>
          </w:tcPr>
          <w:p>
            <w:r/>
            <w:r>
              <w:rPr>
                <w:sz w:val="18"/>
              </w:rPr>
              <w:t>Kozybreeze 4"</w:t>
            </w:r>
          </w:p>
        </w:tc>
        <w:tc>
          <w:tcPr>
            <w:tcW w:type="dxa" w:w="2268"/>
          </w:tcPr>
          <w:p>
            <w:r/>
            <w:r>
              <w:rPr>
                <w:sz w:val="18"/>
              </w:rPr>
              <w:t>Cirrus Foam</w:t>
            </w:r>
          </w:p>
        </w:tc>
        <w:tc>
          <w:tcPr>
            <w:tcW w:type="dxa" w:w="1701"/>
          </w:tcPr>
          <w:p>
            <w:r/>
            <w:r>
              <w:rPr>
                <w:sz w:val="18"/>
              </w:rPr>
              <w:t>-7.09%</w:t>
            </w:r>
          </w:p>
        </w:tc>
        <w:tc>
          <w:tcPr>
            <w:tcW w:type="dxa" w:w="1701"/>
          </w:tcPr>
          <w:p>
            <w:r/>
            <w:r>
              <w:rPr>
                <w:sz w:val="18"/>
              </w:rPr>
              <w:t>LOSS</w:t>
            </w:r>
          </w:p>
        </w:tc>
      </w:tr>
      <w:tr>
        <w:tc>
          <w:tcPr>
            <w:tcW w:type="dxa" w:w="3402"/>
          </w:tcPr>
          <w:p>
            <w:r/>
            <w:r>
              <w:rPr>
                <w:sz w:val="18"/>
              </w:rPr>
              <w:t>Allura PU Moulded Pillow</w:t>
            </w:r>
          </w:p>
        </w:tc>
        <w:tc>
          <w:tcPr>
            <w:tcW w:type="dxa" w:w="2268"/>
          </w:tcPr>
          <w:p>
            <w:r/>
            <w:r>
              <w:rPr>
                <w:sz w:val="18"/>
              </w:rPr>
              <w:t>Accessories</w:t>
            </w:r>
          </w:p>
        </w:tc>
        <w:tc>
          <w:tcPr>
            <w:tcW w:type="dxa" w:w="1701"/>
          </w:tcPr>
          <w:p>
            <w:r/>
            <w:r>
              <w:rPr>
                <w:sz w:val="18"/>
              </w:rPr>
              <w:t>+0.70%</w:t>
            </w:r>
          </w:p>
        </w:tc>
        <w:tc>
          <w:tcPr>
            <w:tcW w:type="dxa" w:w="1701"/>
          </w:tcPr>
          <w:p>
            <w:r/>
            <w:r>
              <w:rPr>
                <w:sz w:val="18"/>
              </w:rPr>
              <w:t>BREAK-EVEN</w:t>
            </w:r>
          </w:p>
        </w:tc>
      </w:tr>
      <w:tr>
        <w:tc>
          <w:tcPr>
            <w:tcW w:type="dxa" w:w="3402"/>
          </w:tcPr>
          <w:p>
            <w:r/>
            <w:r>
              <w:rPr>
                <w:sz w:val="18"/>
              </w:rPr>
              <w:t>Kozybreeze 5"</w:t>
            </w:r>
          </w:p>
        </w:tc>
        <w:tc>
          <w:tcPr>
            <w:tcW w:type="dxa" w:w="2268"/>
          </w:tcPr>
          <w:p>
            <w:r/>
            <w:r>
              <w:rPr>
                <w:sz w:val="18"/>
              </w:rPr>
              <w:t>Cirrus Foam</w:t>
            </w:r>
          </w:p>
        </w:tc>
        <w:tc>
          <w:tcPr>
            <w:tcW w:type="dxa" w:w="1701"/>
          </w:tcPr>
          <w:p>
            <w:r/>
            <w:r>
              <w:rPr>
                <w:sz w:val="18"/>
              </w:rPr>
              <w:t>+2.50%</w:t>
            </w:r>
          </w:p>
        </w:tc>
        <w:tc>
          <w:tcPr>
            <w:tcW w:type="dxa" w:w="1701"/>
          </w:tcPr>
          <w:p>
            <w:r/>
            <w:r>
              <w:rPr>
                <w:sz w:val="18"/>
              </w:rPr>
              <w:t>THIN</w:t>
            </w:r>
          </w:p>
        </w:tc>
      </w:tr>
    </w:tbl>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2268"/>
            <w:shd w:val="clear" w:color="auto" w:fill="1F3864"/>
          </w:tcPr>
          <w:p>
            <w:r/>
            <w:r>
              <w:rPr>
                <w:b/>
                <w:color w:val="FFFFFF"/>
                <w:sz w:val="19"/>
              </w:rPr>
              <w:t>Brand</w:t>
            </w:r>
          </w:p>
        </w:tc>
        <w:tc>
          <w:tcPr>
            <w:tcW w:type="dxa" w:w="1417"/>
            <w:shd w:val="clear" w:color="auto" w:fill="1F3864"/>
          </w:tcPr>
          <w:p>
            <w:r/>
            <w:r>
              <w:rPr>
                <w:b/>
                <w:color w:val="FFFFFF"/>
                <w:sz w:val="19"/>
              </w:rPr>
              <w:t>SKUs</w:t>
            </w:r>
          </w:p>
        </w:tc>
        <w:tc>
          <w:tcPr>
            <w:tcW w:type="dxa" w:w="2268"/>
            <w:shd w:val="clear" w:color="auto" w:fill="1F3864"/>
          </w:tcPr>
          <w:p>
            <w:r/>
            <w:r>
              <w:rPr>
                <w:b/>
                <w:color w:val="FFFFFF"/>
                <w:sz w:val="19"/>
              </w:rPr>
              <w:t>Avg Net Margin %</w:t>
            </w:r>
          </w:p>
        </w:tc>
        <w:tc>
          <w:tcPr>
            <w:tcW w:type="dxa" w:w="1984"/>
            <w:shd w:val="clear" w:color="auto" w:fill="1F3864"/>
          </w:tcPr>
          <w:p>
            <w:r/>
            <w:r>
              <w:rPr>
                <w:b/>
                <w:color w:val="FFFFFF"/>
                <w:sz w:val="19"/>
              </w:rPr>
              <w:t>SKUs &lt;6% NM</w:t>
            </w:r>
          </w:p>
        </w:tc>
        <w:tc>
          <w:tcPr>
            <w:tcW w:type="dxa" w:w="1701"/>
            <w:shd w:val="clear" w:color="auto" w:fill="1F3864"/>
          </w:tcPr>
          <w:p>
            <w:r/>
            <w:r>
              <w:rPr>
                <w:b/>
                <w:color w:val="FFFFFF"/>
                <w:sz w:val="19"/>
              </w:rPr>
              <w:t>Loss-making</w:t>
            </w:r>
          </w:p>
        </w:tc>
      </w:tr>
      <w:tr>
        <w:tc>
          <w:tcPr>
            <w:tcW w:type="dxa" w:w="2268"/>
          </w:tcPr>
          <w:p>
            <w:r/>
            <w:r>
              <w:rPr>
                <w:sz w:val="18"/>
              </w:rPr>
              <w:t>Peps Spring</w:t>
            </w:r>
          </w:p>
        </w:tc>
        <w:tc>
          <w:tcPr>
            <w:tcW w:type="dxa" w:w="1417"/>
          </w:tcPr>
          <w:p>
            <w:r/>
            <w:r>
              <w:rPr>
                <w:sz w:val="18"/>
              </w:rPr>
              <w:t>16</w:t>
            </w:r>
          </w:p>
        </w:tc>
        <w:tc>
          <w:tcPr>
            <w:tcW w:type="dxa" w:w="2268"/>
          </w:tcPr>
          <w:p>
            <w:r/>
            <w:r>
              <w:rPr>
                <w:sz w:val="18"/>
              </w:rPr>
              <w:t>30.6%</w:t>
            </w:r>
          </w:p>
        </w:tc>
        <w:tc>
          <w:tcPr>
            <w:tcW w:type="dxa" w:w="1984"/>
          </w:tcPr>
          <w:p>
            <w:r/>
            <w:r>
              <w:rPr>
                <w:sz w:val="18"/>
              </w:rPr>
              <w:t>0</w:t>
            </w:r>
          </w:p>
        </w:tc>
        <w:tc>
          <w:tcPr>
            <w:tcW w:type="dxa" w:w="1701"/>
          </w:tcPr>
          <w:p>
            <w:r/>
            <w:r>
              <w:rPr>
                <w:sz w:val="18"/>
              </w:rPr>
              <w:t>0</w:t>
            </w:r>
          </w:p>
        </w:tc>
      </w:tr>
      <w:tr>
        <w:tc>
          <w:tcPr>
            <w:tcW w:type="dxa" w:w="2268"/>
          </w:tcPr>
          <w:p>
            <w:r/>
            <w:r>
              <w:rPr>
                <w:sz w:val="18"/>
              </w:rPr>
              <w:t>Cirrus Foam</w:t>
            </w:r>
          </w:p>
        </w:tc>
        <w:tc>
          <w:tcPr>
            <w:tcW w:type="dxa" w:w="1417"/>
          </w:tcPr>
          <w:p>
            <w:r/>
            <w:r>
              <w:rPr>
                <w:sz w:val="18"/>
              </w:rPr>
              <w:t>17</w:t>
            </w:r>
          </w:p>
        </w:tc>
        <w:tc>
          <w:tcPr>
            <w:tcW w:type="dxa" w:w="2268"/>
          </w:tcPr>
          <w:p>
            <w:r/>
            <w:r>
              <w:rPr>
                <w:sz w:val="18"/>
              </w:rPr>
              <w:t>18.8%</w:t>
            </w:r>
          </w:p>
        </w:tc>
        <w:tc>
          <w:tcPr>
            <w:tcW w:type="dxa" w:w="1984"/>
          </w:tcPr>
          <w:p>
            <w:r/>
            <w:r>
              <w:rPr>
                <w:sz w:val="18"/>
              </w:rPr>
              <w:t>2</w:t>
            </w:r>
          </w:p>
        </w:tc>
        <w:tc>
          <w:tcPr>
            <w:tcW w:type="dxa" w:w="1701"/>
          </w:tcPr>
          <w:p>
            <w:r/>
            <w:r>
              <w:rPr>
                <w:sz w:val="18"/>
              </w:rPr>
              <w:t>1</w:t>
            </w:r>
          </w:p>
        </w:tc>
      </w:tr>
      <w:tr>
        <w:tc>
          <w:tcPr>
            <w:tcW w:type="dxa" w:w="2268"/>
          </w:tcPr>
          <w:p>
            <w:r/>
            <w:r>
              <w:rPr>
                <w:sz w:val="18"/>
              </w:rPr>
              <w:t>Italiano</w:t>
            </w:r>
          </w:p>
        </w:tc>
        <w:tc>
          <w:tcPr>
            <w:tcW w:type="dxa" w:w="1417"/>
          </w:tcPr>
          <w:p>
            <w:r/>
            <w:r>
              <w:rPr>
                <w:sz w:val="18"/>
              </w:rPr>
              <w:t>9</w:t>
            </w:r>
          </w:p>
        </w:tc>
        <w:tc>
          <w:tcPr>
            <w:tcW w:type="dxa" w:w="2268"/>
          </w:tcPr>
          <w:p>
            <w:r/>
            <w:r>
              <w:rPr>
                <w:sz w:val="18"/>
              </w:rPr>
              <w:t>27.8%</w:t>
            </w:r>
          </w:p>
        </w:tc>
        <w:tc>
          <w:tcPr>
            <w:tcW w:type="dxa" w:w="1984"/>
          </w:tcPr>
          <w:p>
            <w:r/>
            <w:r>
              <w:rPr>
                <w:sz w:val="18"/>
              </w:rPr>
              <w:t>0</w:t>
            </w:r>
          </w:p>
        </w:tc>
        <w:tc>
          <w:tcPr>
            <w:tcW w:type="dxa" w:w="1701"/>
          </w:tcPr>
          <w:p>
            <w:r/>
            <w:r>
              <w:rPr>
                <w:sz w:val="18"/>
              </w:rPr>
              <w:t>0</w:t>
            </w:r>
          </w:p>
        </w:tc>
      </w:tr>
      <w:tr>
        <w:tc>
          <w:tcPr>
            <w:tcW w:type="dxa" w:w="2268"/>
          </w:tcPr>
          <w:p>
            <w:r/>
            <w:r>
              <w:rPr>
                <w:sz w:val="18"/>
              </w:rPr>
              <w:t>Accessories</w:t>
            </w:r>
          </w:p>
        </w:tc>
        <w:tc>
          <w:tcPr>
            <w:tcW w:type="dxa" w:w="1417"/>
          </w:tcPr>
          <w:p>
            <w:r/>
            <w:r>
              <w:rPr>
                <w:sz w:val="18"/>
              </w:rPr>
              <w:t>12</w:t>
            </w:r>
          </w:p>
        </w:tc>
        <w:tc>
          <w:tcPr>
            <w:tcW w:type="dxa" w:w="2268"/>
          </w:tcPr>
          <w:p>
            <w:r/>
            <w:r>
              <w:rPr>
                <w:sz w:val="18"/>
              </w:rPr>
              <w:t>16.0%</w:t>
            </w:r>
          </w:p>
        </w:tc>
        <w:tc>
          <w:tcPr>
            <w:tcW w:type="dxa" w:w="1984"/>
          </w:tcPr>
          <w:p>
            <w:r/>
            <w:r>
              <w:rPr>
                <w:sz w:val="18"/>
              </w:rPr>
              <w:t>2</w:t>
            </w:r>
          </w:p>
        </w:tc>
        <w:tc>
          <w:tcPr>
            <w:tcW w:type="dxa" w:w="1701"/>
          </w:tcPr>
          <w:p>
            <w:r/>
            <w:r>
              <w:rPr>
                <w:sz w:val="18"/>
              </w:rPr>
              <w:t>1</w:t>
            </w:r>
          </w:p>
        </w:tc>
      </w:tr>
    </w:tbl>
    <w:p/>
    <w:p>
      <w:r>
        <w:rPr>
          <w:b w:val="0"/>
          <w:i w:val="0"/>
          <w:sz w:val="21"/>
        </w:rPr>
        <w:t>Beyond the numbers, the build itself has structural gaps that will limit the automation goal ("MD changes MRP, sees margin impact instantly, no Works Manager intervention") once real Finance/Works-Manager/Ramco data starts flowing in:</w:t>
      </w:r>
    </w:p>
    <w:p>
      <w:pPr>
        <w:pStyle w:val="ListBullet"/>
      </w:pPr>
      <w:r>
        <w:t>35 of 54 SKUs (~65%) have no item_code in sku_master.py — the Ramco BOM upload cannot auto-match RM cost for them.</w:t>
      </w:r>
    </w:p>
    <w:p>
      <w:pPr>
        <w:pStyle w:val="ListBullet"/>
      </w:pPr>
      <w:r>
        <w:t>GST rate (18%) is hardcoded inside engine.py logic, not in config.py — breaks the COO's "config.py = single source of truth" mandate.</w:t>
      </w:r>
    </w:p>
    <w:p>
      <w:pPr>
        <w:pStyle w:val="ListBullet"/>
      </w:pPr>
      <w:r>
        <w:t>The HTML tool keeps its own copy of every rate — there is no single source of truth between config.py and the HTML file; every Finance update must be applied twice.</w:t>
      </w:r>
    </w:p>
    <w:p>
      <w:pPr>
        <w:pStyle w:val="ListBullet"/>
      </w:pPr>
      <w:r>
        <w:t>The Ramco CSV parser auto-detects columns by loose keyword match — a real Ramco export with multiple cost columns (Standard/Landed/Last-Purchase) can silently pick the wrong one.</w:t>
      </w:r>
    </w:p>
    <w:p>
      <w:pPr>
        <w:pStyle w:val="ListBullet"/>
      </w:pPr>
      <w:r>
        <w:t>Trade scheme % (scheme_rm_pct) is frozen against today's RM cost snapshot — once Ramco overwrites RM cost, the frozen scheme ratio quietly goes stale unless re-confirmed.</w:t>
      </w:r>
    </w:p>
    <w:p>
      <w:r>
        <w:br w:type="page"/>
      </w:r>
    </w:p>
    <w:p>
      <w:pPr>
        <w:pStyle w:val="Heading1"/>
      </w:pPr>
      <w:r>
        <w:t>Part A — Where the MRP Rupee Leaks: The Waterfall (current logic)</w:t>
      </w:r>
    </w:p>
    <w:p>
      <w:r>
        <w:rPr>
          <w:b w:val="0"/>
          <w:i w:val="0"/>
          <w:sz w:val="21"/>
        </w:rPr>
        <w:t>This is the standard contribution bridge already implemented in engine.py's calculate() function. Every stage below is quoted directly from the code (engine.py lines 56-105) so the "current logic" is unambiguous. Figures shown are the actual computed output for Peps Comfort 6" (MRP ₹15,999, South DIS channel) as the worked example.</w:t>
      </w:r>
    </w:p>
    <w:p>
      <w:pPr>
        <w:pStyle w:val="Heading2"/>
      </w:pPr>
      <w:r>
        <w:t>A.1 — Revenue-side leakage (MRP → Net Billing Rate)</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1814"/>
            <w:shd w:val="clear" w:color="auto" w:fill="1F3864"/>
          </w:tcPr>
          <w:p>
            <w:r/>
            <w:r>
              <w:rPr>
                <w:b/>
                <w:color w:val="FFFFFF"/>
                <w:sz w:val="19"/>
              </w:rPr>
              <w:t>Stage</w:t>
            </w:r>
          </w:p>
        </w:tc>
        <w:tc>
          <w:tcPr>
            <w:tcW w:type="dxa" w:w="3572"/>
            <w:shd w:val="clear" w:color="auto" w:fill="1F3864"/>
          </w:tcPr>
          <w:p>
            <w:r/>
            <w:r>
              <w:rPr>
                <w:b/>
                <w:color w:val="FFFFFF"/>
                <w:sz w:val="19"/>
              </w:rPr>
              <w:t>Current Formula (engine.py)</w:t>
            </w:r>
          </w:p>
        </w:tc>
        <w:tc>
          <w:tcPr>
            <w:tcW w:type="dxa" w:w="1587"/>
            <w:shd w:val="clear" w:color="auto" w:fill="1F3864"/>
          </w:tcPr>
          <w:p>
            <w:r/>
            <w:r>
              <w:rPr>
                <w:b/>
                <w:color w:val="FFFFFF"/>
                <w:sz w:val="19"/>
              </w:rPr>
              <w:t>₹ (Comfort 6")</w:t>
            </w:r>
          </w:p>
        </w:tc>
        <w:tc>
          <w:tcPr>
            <w:tcW w:type="dxa" w:w="1247"/>
            <w:shd w:val="clear" w:color="auto" w:fill="1F3864"/>
          </w:tcPr>
          <w:p>
            <w:r/>
            <w:r>
              <w:rPr>
                <w:b/>
                <w:color w:val="FFFFFF"/>
                <w:sz w:val="19"/>
              </w:rPr>
              <w:t>% of MRP</w:t>
            </w:r>
          </w:p>
        </w:tc>
      </w:tr>
      <w:tr>
        <w:tc>
          <w:tcPr>
            <w:tcW w:type="dxa" w:w="1814"/>
          </w:tcPr>
          <w:p>
            <w:r/>
            <w:r>
              <w:rPr>
                <w:sz w:val="18"/>
              </w:rPr>
              <w:t>Dealer Margin</w:t>
            </w:r>
          </w:p>
        </w:tc>
        <w:tc>
          <w:tcPr>
            <w:tcW w:type="dxa" w:w="3572"/>
          </w:tcPr>
          <w:p>
            <w:r/>
            <w:r>
              <w:rPr>
                <w:sz w:val="18"/>
              </w:rPr>
              <w:t>mrp * dealer_margin  (30% South DIS)</w:t>
            </w:r>
          </w:p>
        </w:tc>
        <w:tc>
          <w:tcPr>
            <w:tcW w:type="dxa" w:w="1587"/>
          </w:tcPr>
          <w:p>
            <w:r/>
            <w:r>
              <w:rPr>
                <w:sz w:val="18"/>
              </w:rPr>
              <w:t>4,799.70</w:t>
            </w:r>
          </w:p>
        </w:tc>
        <w:tc>
          <w:tcPr>
            <w:tcW w:type="dxa" w:w="1247"/>
          </w:tcPr>
          <w:p>
            <w:r/>
            <w:r>
              <w:rPr>
                <w:sz w:val="18"/>
              </w:rPr>
              <w:t>30.00%</w:t>
            </w:r>
          </w:p>
        </w:tc>
      </w:tr>
      <w:tr>
        <w:tc>
          <w:tcPr>
            <w:tcW w:type="dxa" w:w="1814"/>
          </w:tcPr>
          <w:p>
            <w:r/>
            <w:r>
              <w:rPr>
                <w:sz w:val="18"/>
              </w:rPr>
              <w:t>Distributor VAT diff</w:t>
            </w:r>
          </w:p>
        </w:tc>
        <w:tc>
          <w:tcPr>
            <w:tcW w:type="dxa" w:w="3572"/>
          </w:tcPr>
          <w:p>
            <w:r/>
            <w:r>
              <w:rPr>
                <w:sz w:val="18"/>
              </w:rPr>
              <w:t>dealer_price * dv/(1+dv)</w:t>
            </w:r>
          </w:p>
        </w:tc>
        <w:tc>
          <w:tcPr>
            <w:tcW w:type="dxa" w:w="1587"/>
          </w:tcPr>
          <w:p>
            <w:r/>
            <w:r>
              <w:rPr>
                <w:sz w:val="18"/>
              </w:rPr>
              <w:t>180.31</w:t>
            </w:r>
          </w:p>
        </w:tc>
        <w:tc>
          <w:tcPr>
            <w:tcW w:type="dxa" w:w="1247"/>
          </w:tcPr>
          <w:p>
            <w:r/>
            <w:r>
              <w:rPr>
                <w:sz w:val="18"/>
              </w:rPr>
              <w:t>1.13%</w:t>
            </w:r>
          </w:p>
        </w:tc>
      </w:tr>
      <w:tr>
        <w:tc>
          <w:tcPr>
            <w:tcW w:type="dxa" w:w="1814"/>
          </w:tcPr>
          <w:p>
            <w:r/>
            <w:r>
              <w:rPr>
                <w:sz w:val="18"/>
              </w:rPr>
              <w:t>Distributor Margin</w:t>
            </w:r>
          </w:p>
        </w:tc>
        <w:tc>
          <w:tcPr>
            <w:tcW w:type="dxa" w:w="3572"/>
          </w:tcPr>
          <w:p>
            <w:r/>
            <w:r>
              <w:rPr>
                <w:sz w:val="18"/>
              </w:rPr>
              <w:t>after_vat * dm/(1+dm)  (10%)</w:t>
            </w:r>
          </w:p>
        </w:tc>
        <w:tc>
          <w:tcPr>
            <w:tcW w:type="dxa" w:w="1587"/>
          </w:tcPr>
          <w:p>
            <w:r/>
            <w:r>
              <w:rPr>
                <w:sz w:val="18"/>
              </w:rPr>
              <w:t>1,001.73</w:t>
            </w:r>
          </w:p>
        </w:tc>
        <w:tc>
          <w:tcPr>
            <w:tcW w:type="dxa" w:w="1247"/>
          </w:tcPr>
          <w:p>
            <w:r/>
            <w:r>
              <w:rPr>
                <w:sz w:val="18"/>
              </w:rPr>
              <w:t>6.26%</w:t>
            </w:r>
          </w:p>
        </w:tc>
      </w:tr>
      <w:tr>
        <w:tc>
          <w:tcPr>
            <w:tcW w:type="dxa" w:w="1814"/>
          </w:tcPr>
          <w:p>
            <w:r/>
            <w:r>
              <w:rPr>
                <w:sz w:val="18"/>
              </w:rPr>
              <w:t>CGST + SGST (statutory)</w:t>
            </w:r>
          </w:p>
        </w:tc>
        <w:tc>
          <w:tcPr>
            <w:tcW w:type="dxa" w:w="3572"/>
          </w:tcPr>
          <w:p>
            <w:r/>
            <w:r>
              <w:rPr>
                <w:sz w:val="18"/>
              </w:rPr>
              <w:t>dist_price * 9%/(1.18)  each leg</w:t>
            </w:r>
          </w:p>
        </w:tc>
        <w:tc>
          <w:tcPr>
            <w:tcW w:type="dxa" w:w="1587"/>
          </w:tcPr>
          <w:p>
            <w:r/>
            <w:r>
              <w:rPr>
                <w:sz w:val="18"/>
              </w:rPr>
              <w:t>1,528.06</w:t>
            </w:r>
          </w:p>
        </w:tc>
        <w:tc>
          <w:tcPr>
            <w:tcW w:type="dxa" w:w="1247"/>
          </w:tcPr>
          <w:p>
            <w:r/>
            <w:r>
              <w:rPr>
                <w:sz w:val="18"/>
              </w:rPr>
              <w:t>9.56%</w:t>
            </w:r>
          </w:p>
        </w:tc>
      </w:tr>
      <w:tr>
        <w:tc>
          <w:tcPr>
            <w:tcW w:type="dxa" w:w="1814"/>
          </w:tcPr>
          <w:p>
            <w:r/>
            <w:r>
              <w:rPr>
                <w:sz w:val="18"/>
              </w:rPr>
              <w:t>= Net Billing Rate</w:t>
            </w:r>
          </w:p>
        </w:tc>
        <w:tc>
          <w:tcPr>
            <w:tcW w:type="dxa" w:w="3572"/>
          </w:tcPr>
          <w:p>
            <w:r/>
            <w:r>
              <w:rPr>
                <w:sz w:val="18"/>
              </w:rPr>
              <w:t>dist_price / 1.18</w:t>
            </w:r>
          </w:p>
        </w:tc>
        <w:tc>
          <w:tcPr>
            <w:tcW w:type="dxa" w:w="1587"/>
          </w:tcPr>
          <w:p>
            <w:r/>
            <w:r>
              <w:rPr>
                <w:sz w:val="18"/>
              </w:rPr>
              <w:t>8,489.20</w:t>
            </w:r>
          </w:p>
        </w:tc>
        <w:tc>
          <w:tcPr>
            <w:tcW w:type="dxa" w:w="1247"/>
          </w:tcPr>
          <w:p>
            <w:r/>
            <w:r>
              <w:rPr>
                <w:sz w:val="18"/>
              </w:rPr>
              <w:t>53.06%</w:t>
            </w:r>
          </w:p>
        </w:tc>
      </w:tr>
    </w:tbl>
    <w:p/>
    <w:p>
      <w:r>
        <w:rPr>
          <w:b w:val="0"/>
          <w:i w:val="0"/>
          <w:sz w:val="21"/>
        </w:rPr>
        <w:t>Reading: for every ₹100 of MRP on a Peps Spring mattress, only ~₹53 ever reaches the company as billed revenue before any further trade deduction. Dealer margin (30%) is the single largest cut; GST (9.56% of MRP, unavoidable) is the second largest.</w:t>
      </w:r>
    </w:p>
    <w:p>
      <w:pPr>
        <w:pStyle w:val="Heading2"/>
      </w:pPr>
      <w:r>
        <w:t>A.2 — Trade-deduction leakage (Net Billing Rate → Net Sales)</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701"/>
            <w:shd w:val="clear" w:color="auto" w:fill="1F3864"/>
          </w:tcPr>
          <w:p>
            <w:r/>
            <w:r>
              <w:rPr>
                <w:b/>
                <w:color w:val="FFFFFF"/>
                <w:sz w:val="19"/>
              </w:rPr>
              <w:t>Stage</w:t>
            </w:r>
          </w:p>
        </w:tc>
        <w:tc>
          <w:tcPr>
            <w:tcW w:type="dxa" w:w="2948"/>
            <w:shd w:val="clear" w:color="auto" w:fill="1F3864"/>
          </w:tcPr>
          <w:p>
            <w:r/>
            <w:r>
              <w:rPr>
                <w:b/>
                <w:color w:val="FFFFFF"/>
                <w:sz w:val="19"/>
              </w:rPr>
              <w:t>Current Formula (engine.py)</w:t>
            </w:r>
          </w:p>
        </w:tc>
        <w:tc>
          <w:tcPr>
            <w:tcW w:type="dxa" w:w="2154"/>
            <w:shd w:val="clear" w:color="auto" w:fill="1F3864"/>
          </w:tcPr>
          <w:p>
            <w:r/>
            <w:r>
              <w:rPr>
                <w:b/>
                <w:color w:val="FFFFFF"/>
                <w:sz w:val="19"/>
              </w:rPr>
              <w:t>Basis</w:t>
            </w:r>
          </w:p>
        </w:tc>
        <w:tc>
          <w:tcPr>
            <w:tcW w:type="dxa" w:w="1020"/>
            <w:shd w:val="clear" w:color="auto" w:fill="1F3864"/>
          </w:tcPr>
          <w:p>
            <w:r/>
            <w:r>
              <w:rPr>
                <w:b/>
                <w:color w:val="FFFFFF"/>
                <w:sz w:val="19"/>
              </w:rPr>
              <w:t>₹</w:t>
            </w:r>
          </w:p>
        </w:tc>
        <w:tc>
          <w:tcPr>
            <w:tcW w:type="dxa" w:w="964"/>
            <w:shd w:val="clear" w:color="auto" w:fill="1F3864"/>
          </w:tcPr>
          <w:p>
            <w:r/>
            <w:r>
              <w:rPr>
                <w:b/>
                <w:color w:val="FFFFFF"/>
                <w:sz w:val="19"/>
              </w:rPr>
              <w:t>% of MRP</w:t>
            </w:r>
          </w:p>
        </w:tc>
      </w:tr>
      <w:tr>
        <w:tc>
          <w:tcPr>
            <w:tcW w:type="dxa" w:w="1701"/>
          </w:tcPr>
          <w:p>
            <w:r/>
            <w:r>
              <w:rPr>
                <w:sz w:val="18"/>
              </w:rPr>
              <w:t>Sales Return (SR)</w:t>
            </w:r>
          </w:p>
        </w:tc>
        <w:tc>
          <w:tcPr>
            <w:tcW w:type="dxa" w:w="2948"/>
          </w:tcPr>
          <w:p>
            <w:r/>
            <w:r>
              <w:rPr>
                <w:sz w:val="18"/>
              </w:rPr>
              <w:t>rm_cost * sales_return_pct</w:t>
            </w:r>
          </w:p>
        </w:tc>
        <w:tc>
          <w:tcPr>
            <w:tcW w:type="dxa" w:w="2154"/>
          </w:tcPr>
          <w:p>
            <w:r/>
            <w:r>
              <w:rPr>
                <w:sz w:val="18"/>
              </w:rPr>
              <w:t>% of RM COST (not MRP/NBR)</w:t>
            </w:r>
          </w:p>
        </w:tc>
        <w:tc>
          <w:tcPr>
            <w:tcW w:type="dxa" w:w="1020"/>
          </w:tcPr>
          <w:p>
            <w:r/>
            <w:r>
              <w:rPr>
                <w:sz w:val="18"/>
              </w:rPr>
              <w:t>48.48</w:t>
            </w:r>
          </w:p>
        </w:tc>
        <w:tc>
          <w:tcPr>
            <w:tcW w:type="dxa" w:w="964"/>
          </w:tcPr>
          <w:p>
            <w:r/>
            <w:r>
              <w:rPr>
                <w:sz w:val="18"/>
              </w:rPr>
              <w:t>0.30%</w:t>
            </w:r>
          </w:p>
        </w:tc>
      </w:tr>
      <w:tr>
        <w:tc>
          <w:tcPr>
            <w:tcW w:type="dxa" w:w="1701"/>
          </w:tcPr>
          <w:p>
            <w:r/>
            <w:r>
              <w:rPr>
                <w:sz w:val="18"/>
              </w:rPr>
              <w:t>Cash Discount (CD)</w:t>
            </w:r>
          </w:p>
        </w:tc>
        <w:tc>
          <w:tcPr>
            <w:tcW w:type="dxa" w:w="2948"/>
          </w:tcPr>
          <w:p>
            <w:r/>
            <w:r>
              <w:rPr>
                <w:sz w:val="18"/>
              </w:rPr>
              <w:t>dist_price * cd_pct</w:t>
            </w:r>
          </w:p>
        </w:tc>
        <w:tc>
          <w:tcPr>
            <w:tcW w:type="dxa" w:w="2154"/>
          </w:tcPr>
          <w:p>
            <w:r/>
            <w:r>
              <w:rPr>
                <w:sz w:val="18"/>
              </w:rPr>
              <w:t>% of DISTRIBUTOR PRICE</w:t>
            </w:r>
          </w:p>
        </w:tc>
        <w:tc>
          <w:tcPr>
            <w:tcW w:type="dxa" w:w="1020"/>
          </w:tcPr>
          <w:p>
            <w:r/>
            <w:r>
              <w:rPr>
                <w:sz w:val="18"/>
              </w:rPr>
              <w:t>300.52</w:t>
            </w:r>
          </w:p>
        </w:tc>
        <w:tc>
          <w:tcPr>
            <w:tcW w:type="dxa" w:w="964"/>
          </w:tcPr>
          <w:p>
            <w:r/>
            <w:r>
              <w:rPr>
                <w:sz w:val="18"/>
              </w:rPr>
              <w:t>1.88%</w:t>
            </w:r>
          </w:p>
        </w:tc>
      </w:tr>
      <w:tr>
        <w:tc>
          <w:tcPr>
            <w:tcW w:type="dxa" w:w="1701"/>
          </w:tcPr>
          <w:p>
            <w:r/>
            <w:r>
              <w:rPr>
                <w:sz w:val="18"/>
              </w:rPr>
              <w:t>DCT</w:t>
            </w:r>
          </w:p>
        </w:tc>
        <w:tc>
          <w:tcPr>
            <w:tcW w:type="dxa" w:w="2948"/>
          </w:tcPr>
          <w:p>
            <w:r/>
            <w:r>
              <w:rPr>
                <w:sz w:val="18"/>
              </w:rPr>
              <w:t>(dealer_price/1.18) * dct_pct</w:t>
            </w:r>
          </w:p>
        </w:tc>
        <w:tc>
          <w:tcPr>
            <w:tcW w:type="dxa" w:w="2154"/>
          </w:tcPr>
          <w:p>
            <w:r/>
            <w:r>
              <w:rPr>
                <w:sz w:val="18"/>
              </w:rPr>
              <w:t>% of GST-ex DEALER price</w:t>
            </w:r>
          </w:p>
        </w:tc>
        <w:tc>
          <w:tcPr>
            <w:tcW w:type="dxa" w:w="1020"/>
          </w:tcPr>
          <w:p>
            <w:r/>
            <w:r>
              <w:rPr>
                <w:sz w:val="18"/>
              </w:rPr>
              <w:t>379.64</w:t>
            </w:r>
          </w:p>
        </w:tc>
        <w:tc>
          <w:tcPr>
            <w:tcW w:type="dxa" w:w="964"/>
          </w:tcPr>
          <w:p>
            <w:r/>
            <w:r>
              <w:rPr>
                <w:sz w:val="18"/>
              </w:rPr>
              <w:t>2.37%</w:t>
            </w:r>
          </w:p>
        </w:tc>
      </w:tr>
      <w:tr>
        <w:tc>
          <w:tcPr>
            <w:tcW w:type="dxa" w:w="1701"/>
          </w:tcPr>
          <w:p>
            <w:r/>
            <w:r>
              <w:rPr>
                <w:sz w:val="18"/>
              </w:rPr>
              <w:t>TOD</w:t>
            </w:r>
          </w:p>
        </w:tc>
        <w:tc>
          <w:tcPr>
            <w:tcW w:type="dxa" w:w="2948"/>
          </w:tcPr>
          <w:p>
            <w:r/>
            <w:r>
              <w:rPr>
                <w:sz w:val="18"/>
              </w:rPr>
              <w:t>net_billing_rate * tod_pct</w:t>
            </w:r>
          </w:p>
        </w:tc>
        <w:tc>
          <w:tcPr>
            <w:tcW w:type="dxa" w:w="2154"/>
          </w:tcPr>
          <w:p>
            <w:r/>
            <w:r>
              <w:rPr>
                <w:sz w:val="18"/>
              </w:rPr>
              <w:t>% of NET BILLING RATE</w:t>
            </w:r>
          </w:p>
        </w:tc>
        <w:tc>
          <w:tcPr>
            <w:tcW w:type="dxa" w:w="1020"/>
          </w:tcPr>
          <w:p>
            <w:r/>
            <w:r>
              <w:rPr>
                <w:sz w:val="18"/>
              </w:rPr>
              <w:t>254.68</w:t>
            </w:r>
          </w:p>
        </w:tc>
        <w:tc>
          <w:tcPr>
            <w:tcW w:type="dxa" w:w="964"/>
          </w:tcPr>
          <w:p>
            <w:r/>
            <w:r>
              <w:rPr>
                <w:sz w:val="18"/>
              </w:rPr>
              <w:t>1.59%</w:t>
            </w:r>
          </w:p>
        </w:tc>
      </w:tr>
      <w:tr>
        <w:tc>
          <w:tcPr>
            <w:tcW w:type="dxa" w:w="1701"/>
          </w:tcPr>
          <w:p>
            <w:r/>
            <w:r>
              <w:rPr>
                <w:sz w:val="18"/>
              </w:rPr>
              <w:t>Trade Scheme</w:t>
            </w:r>
          </w:p>
        </w:tc>
        <w:tc>
          <w:tcPr>
            <w:tcW w:type="dxa" w:w="2948"/>
          </w:tcPr>
          <w:p>
            <w:r/>
            <w:r>
              <w:rPr>
                <w:sz w:val="18"/>
              </w:rPr>
              <w:t>rm_cost * scheme_rm_pct</w:t>
            </w:r>
          </w:p>
        </w:tc>
        <w:tc>
          <w:tcPr>
            <w:tcW w:type="dxa" w:w="2154"/>
          </w:tcPr>
          <w:p>
            <w:r/>
            <w:r>
              <w:rPr>
                <w:sz w:val="18"/>
              </w:rPr>
              <w:t>% of RM COST, frozen ratio</w:t>
            </w:r>
          </w:p>
        </w:tc>
        <w:tc>
          <w:tcPr>
            <w:tcW w:type="dxa" w:w="1020"/>
          </w:tcPr>
          <w:p>
            <w:r/>
            <w:r>
              <w:rPr>
                <w:sz w:val="18"/>
              </w:rPr>
              <w:t>428.04</w:t>
            </w:r>
          </w:p>
        </w:tc>
        <w:tc>
          <w:tcPr>
            <w:tcW w:type="dxa" w:w="964"/>
          </w:tcPr>
          <w:p>
            <w:r/>
            <w:r>
              <w:rPr>
                <w:sz w:val="18"/>
              </w:rPr>
              <w:t>2.68%</w:t>
            </w:r>
          </w:p>
        </w:tc>
      </w:tr>
      <w:tr>
        <w:tc>
          <w:tcPr>
            <w:tcW w:type="dxa" w:w="1701"/>
          </w:tcPr>
          <w:p>
            <w:r/>
            <w:r>
              <w:rPr>
                <w:sz w:val="18"/>
              </w:rPr>
              <w:t>= Net Sales</w:t>
            </w:r>
          </w:p>
        </w:tc>
        <w:tc>
          <w:tcPr>
            <w:tcW w:type="dxa" w:w="2948"/>
          </w:tcPr>
          <w:p>
            <w:r/>
            <w:r>
              <w:rPr>
                <w:sz w:val="18"/>
              </w:rPr>
              <w:t>NBR - SR - CD - DCT - TOD - Scheme</w:t>
            </w:r>
          </w:p>
        </w:tc>
        <w:tc>
          <w:tcPr>
            <w:tcW w:type="dxa" w:w="2154"/>
          </w:tcPr>
          <w:p>
            <w:r/>
            <w:r>
              <w:rPr>
                <w:sz w:val="18"/>
              </w:rPr>
            </w:r>
          </w:p>
        </w:tc>
        <w:tc>
          <w:tcPr>
            <w:tcW w:type="dxa" w:w="1020"/>
          </w:tcPr>
          <w:p>
            <w:r/>
            <w:r>
              <w:rPr>
                <w:sz w:val="18"/>
              </w:rPr>
              <w:t>7,077.84</w:t>
            </w:r>
          </w:p>
        </w:tc>
        <w:tc>
          <w:tcPr>
            <w:tcW w:type="dxa" w:w="964"/>
          </w:tcPr>
          <w:p>
            <w:r/>
            <w:r>
              <w:rPr>
                <w:sz w:val="18"/>
              </w:rPr>
              <w:t>44.24%</w:t>
            </w:r>
          </w:p>
        </w:tc>
      </w:tr>
    </w:tbl>
    <w:p/>
    <w:p>
      <w:r>
        <w:rPr>
          <w:b w:val="0"/>
          <w:i w:val="0"/>
          <w:sz w:val="21"/>
        </w:rPr>
        <w:t>Each deduction uses a different, deliberately verified basis (RM cost, distributor price, GST-ex dealer price, or NBR — never interchangeable). This is documented in the Continuation Instructions as a do-not-change rule; it is repeated here because it is the single easiest place for a future edit to silently break validation.</w:t>
      </w:r>
    </w:p>
    <w:p>
      <w:pPr>
        <w:pStyle w:val="Heading2"/>
      </w:pPr>
      <w:r>
        <w:t>A.3 — Cost &amp; overhead leakage (Net Sales → EBITDA)</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1701"/>
            <w:shd w:val="clear" w:color="auto" w:fill="1F3864"/>
          </w:tcPr>
          <w:p>
            <w:r/>
            <w:r>
              <w:rPr>
                <w:b/>
                <w:color w:val="FFFFFF"/>
                <w:sz w:val="19"/>
              </w:rPr>
              <w:t>Stage</w:t>
            </w:r>
          </w:p>
        </w:tc>
        <w:tc>
          <w:tcPr>
            <w:tcW w:type="dxa" w:w="3572"/>
            <w:shd w:val="clear" w:color="auto" w:fill="1F3864"/>
          </w:tcPr>
          <w:p>
            <w:r/>
            <w:r>
              <w:rPr>
                <w:b/>
                <w:color w:val="FFFFFF"/>
                <w:sz w:val="19"/>
              </w:rPr>
              <w:t>Current Formula (engine.py)</w:t>
            </w:r>
          </w:p>
        </w:tc>
        <w:tc>
          <w:tcPr>
            <w:tcW w:type="dxa" w:w="1134"/>
            <w:shd w:val="clear" w:color="auto" w:fill="1F3864"/>
          </w:tcPr>
          <w:p>
            <w:r/>
            <w:r>
              <w:rPr>
                <w:b/>
                <w:color w:val="FFFFFF"/>
                <w:sz w:val="19"/>
              </w:rPr>
              <w:t>₹</w:t>
            </w:r>
          </w:p>
        </w:tc>
        <w:tc>
          <w:tcPr>
            <w:tcW w:type="dxa" w:w="1247"/>
            <w:shd w:val="clear" w:color="auto" w:fill="1F3864"/>
          </w:tcPr>
          <w:p>
            <w:r/>
            <w:r>
              <w:rPr>
                <w:b/>
                <w:color w:val="FFFFFF"/>
                <w:sz w:val="19"/>
              </w:rPr>
              <w:t>% of MRP</w:t>
            </w:r>
          </w:p>
        </w:tc>
      </w:tr>
      <w:tr>
        <w:tc>
          <w:tcPr>
            <w:tcW w:type="dxa" w:w="1701"/>
          </w:tcPr>
          <w:p>
            <w:r/>
            <w:r>
              <w:rPr>
                <w:sz w:val="18"/>
              </w:rPr>
              <w:t>Direct Labour</w:t>
            </w:r>
          </w:p>
        </w:tc>
        <w:tc>
          <w:tcPr>
            <w:tcW w:type="dxa" w:w="3572"/>
          </w:tcPr>
          <w:p>
            <w:r/>
            <w:r>
              <w:rPr>
                <w:sz w:val="18"/>
              </w:rPr>
              <w:t>flat ₹400/unit (Peps); %RM for other brands</w:t>
            </w:r>
          </w:p>
        </w:tc>
        <w:tc>
          <w:tcPr>
            <w:tcW w:type="dxa" w:w="1134"/>
          </w:tcPr>
          <w:p>
            <w:r/>
            <w:r>
              <w:rPr>
                <w:sz w:val="18"/>
              </w:rPr>
              <w:t>400.00</w:t>
            </w:r>
          </w:p>
        </w:tc>
        <w:tc>
          <w:tcPr>
            <w:tcW w:type="dxa" w:w="1247"/>
          </w:tcPr>
          <w:p>
            <w:r/>
            <w:r>
              <w:rPr>
                <w:sz w:val="18"/>
              </w:rPr>
              <w:t>2.50%</w:t>
            </w:r>
          </w:p>
        </w:tc>
      </w:tr>
      <w:tr>
        <w:tc>
          <w:tcPr>
            <w:tcW w:type="dxa" w:w="1701"/>
          </w:tcPr>
          <w:p>
            <w:r/>
            <w:r>
              <w:rPr>
                <w:sz w:val="18"/>
              </w:rPr>
              <w:t>RM Cost</w:t>
            </w:r>
          </w:p>
        </w:tc>
        <w:tc>
          <w:tcPr>
            <w:tcW w:type="dxa" w:w="3572"/>
          </w:tcPr>
          <w:p>
            <w:r/>
            <w:r>
              <w:rPr>
                <w:sz w:val="18"/>
              </w:rPr>
              <w:t>sku_master.py rm_cost (manual / Ramco)</w:t>
            </w:r>
          </w:p>
        </w:tc>
        <w:tc>
          <w:tcPr>
            <w:tcW w:type="dxa" w:w="1134"/>
          </w:tcPr>
          <w:p>
            <w:r/>
            <w:r>
              <w:rPr>
                <w:sz w:val="18"/>
              </w:rPr>
              <w:t>3,232.21</w:t>
            </w:r>
          </w:p>
        </w:tc>
        <w:tc>
          <w:tcPr>
            <w:tcW w:type="dxa" w:w="1247"/>
          </w:tcPr>
          <w:p>
            <w:r/>
            <w:r>
              <w:rPr>
                <w:sz w:val="18"/>
              </w:rPr>
              <w:t>20.20%</w:t>
            </w:r>
          </w:p>
        </w:tc>
      </w:tr>
      <w:tr>
        <w:tc>
          <w:tcPr>
            <w:tcW w:type="dxa" w:w="1701"/>
          </w:tcPr>
          <w:p>
            <w:r/>
            <w:r>
              <w:rPr>
                <w:sz w:val="18"/>
              </w:rPr>
              <w:t>Consumer Scheme</w:t>
            </w:r>
          </w:p>
        </w:tc>
        <w:tc>
          <w:tcPr>
            <w:tcW w:type="dxa" w:w="3572"/>
          </w:tcPr>
          <w:p>
            <w:r/>
            <w:r>
              <w:rPr>
                <w:sz w:val="18"/>
              </w:rPr>
              <w:t>flat ₹105/unit (Peps)</w:t>
            </w:r>
          </w:p>
        </w:tc>
        <w:tc>
          <w:tcPr>
            <w:tcW w:type="dxa" w:w="1134"/>
          </w:tcPr>
          <w:p>
            <w:r/>
            <w:r>
              <w:rPr>
                <w:sz w:val="18"/>
              </w:rPr>
              <w:t>105.00</w:t>
            </w:r>
          </w:p>
        </w:tc>
        <w:tc>
          <w:tcPr>
            <w:tcW w:type="dxa" w:w="1247"/>
          </w:tcPr>
          <w:p>
            <w:r/>
            <w:r>
              <w:rPr>
                <w:sz w:val="18"/>
              </w:rPr>
              <w:t>0.66%</w:t>
            </w:r>
          </w:p>
        </w:tc>
      </w:tr>
      <w:tr>
        <w:tc>
          <w:tcPr>
            <w:tcW w:type="dxa" w:w="1701"/>
          </w:tcPr>
          <w:p>
            <w:r/>
            <w:r>
              <w:rPr>
                <w:sz w:val="18"/>
              </w:rPr>
              <w:t>Mfg OHS</w:t>
            </w:r>
          </w:p>
        </w:tc>
        <w:tc>
          <w:tcPr>
            <w:tcW w:type="dxa" w:w="3572"/>
          </w:tcPr>
          <w:p>
            <w:r/>
            <w:r>
              <w:rPr>
                <w:sz w:val="18"/>
              </w:rPr>
              <w:t>rm_cost * 6.72% (all brands)</w:t>
            </w:r>
          </w:p>
        </w:tc>
        <w:tc>
          <w:tcPr>
            <w:tcW w:type="dxa" w:w="1134"/>
          </w:tcPr>
          <w:p>
            <w:r/>
            <w:r>
              <w:rPr>
                <w:sz w:val="18"/>
              </w:rPr>
              <w:t>217.20</w:t>
            </w:r>
          </w:p>
        </w:tc>
        <w:tc>
          <w:tcPr>
            <w:tcW w:type="dxa" w:w="1247"/>
          </w:tcPr>
          <w:p>
            <w:r/>
            <w:r>
              <w:rPr>
                <w:sz w:val="18"/>
              </w:rPr>
              <w:t>1.36%</w:t>
            </w:r>
          </w:p>
        </w:tc>
      </w:tr>
      <w:tr>
        <w:tc>
          <w:tcPr>
            <w:tcW w:type="dxa" w:w="1701"/>
          </w:tcPr>
          <w:p>
            <w:r/>
            <w:r>
              <w:rPr>
                <w:sz w:val="18"/>
              </w:rPr>
              <w:t>Marketing OHS</w:t>
            </w:r>
          </w:p>
        </w:tc>
        <w:tc>
          <w:tcPr>
            <w:tcW w:type="dxa" w:w="3572"/>
          </w:tcPr>
          <w:p>
            <w:r/>
            <w:r>
              <w:rPr>
                <w:sz w:val="18"/>
              </w:rPr>
              <w:t>flat ₹1,516/unit (Peps only; %RM elsewhere)</w:t>
            </w:r>
          </w:p>
        </w:tc>
        <w:tc>
          <w:tcPr>
            <w:tcW w:type="dxa" w:w="1134"/>
          </w:tcPr>
          <w:p>
            <w:r/>
            <w:r>
              <w:rPr>
                <w:sz w:val="18"/>
              </w:rPr>
              <w:t>1,516.00</w:t>
            </w:r>
          </w:p>
        </w:tc>
        <w:tc>
          <w:tcPr>
            <w:tcW w:type="dxa" w:w="1247"/>
          </w:tcPr>
          <w:p>
            <w:r/>
            <w:r>
              <w:rPr>
                <w:sz w:val="18"/>
              </w:rPr>
              <w:t>9.48%</w:t>
            </w:r>
          </w:p>
        </w:tc>
      </w:tr>
      <w:tr>
        <w:tc>
          <w:tcPr>
            <w:tcW w:type="dxa" w:w="1701"/>
          </w:tcPr>
          <w:p>
            <w:r/>
            <w:r>
              <w:rPr>
                <w:sz w:val="18"/>
              </w:rPr>
              <w:t>Freight OHS</w:t>
            </w:r>
          </w:p>
        </w:tc>
        <w:tc>
          <w:tcPr>
            <w:tcW w:type="dxa" w:w="3572"/>
          </w:tcPr>
          <w:p>
            <w:r/>
            <w:r>
              <w:rPr>
                <w:sz w:val="18"/>
              </w:rPr>
              <w:t>sku_master.py freight_south (manual)</w:t>
            </w:r>
          </w:p>
        </w:tc>
        <w:tc>
          <w:tcPr>
            <w:tcW w:type="dxa" w:w="1134"/>
          </w:tcPr>
          <w:p>
            <w:r/>
            <w:r>
              <w:rPr>
                <w:sz w:val="18"/>
              </w:rPr>
              <w:t>431.03</w:t>
            </w:r>
          </w:p>
        </w:tc>
        <w:tc>
          <w:tcPr>
            <w:tcW w:type="dxa" w:w="1247"/>
          </w:tcPr>
          <w:p>
            <w:r/>
            <w:r>
              <w:rPr>
                <w:sz w:val="18"/>
              </w:rPr>
              <w:t>2.69%</w:t>
            </w:r>
          </w:p>
        </w:tc>
      </w:tr>
      <w:tr>
        <w:tc>
          <w:tcPr>
            <w:tcW w:type="dxa" w:w="1701"/>
          </w:tcPr>
          <w:p>
            <w:r/>
            <w:r>
              <w:rPr>
                <w:sz w:val="18"/>
              </w:rPr>
              <w:t>Admin OHS</w:t>
            </w:r>
          </w:p>
        </w:tc>
        <w:tc>
          <w:tcPr>
            <w:tcW w:type="dxa" w:w="3572"/>
          </w:tcPr>
          <w:p>
            <w:r/>
            <w:r>
              <w:rPr>
                <w:sz w:val="18"/>
              </w:rPr>
              <w:t>flat ₹500/unit (Peps only; %RM elsewhere)</w:t>
            </w:r>
          </w:p>
        </w:tc>
        <w:tc>
          <w:tcPr>
            <w:tcW w:type="dxa" w:w="1134"/>
          </w:tcPr>
          <w:p>
            <w:r/>
            <w:r>
              <w:rPr>
                <w:sz w:val="18"/>
              </w:rPr>
              <w:t>500.00</w:t>
            </w:r>
          </w:p>
        </w:tc>
        <w:tc>
          <w:tcPr>
            <w:tcW w:type="dxa" w:w="1247"/>
          </w:tcPr>
          <w:p>
            <w:r/>
            <w:r>
              <w:rPr>
                <w:sz w:val="18"/>
              </w:rPr>
              <w:t>3.13%</w:t>
            </w:r>
          </w:p>
        </w:tc>
      </w:tr>
      <w:tr>
        <w:tc>
          <w:tcPr>
            <w:tcW w:type="dxa" w:w="1701"/>
          </w:tcPr>
          <w:p>
            <w:r/>
            <w:r>
              <w:rPr>
                <w:sz w:val="18"/>
              </w:rPr>
              <w:t>= EBITDA</w:t>
            </w:r>
          </w:p>
        </w:tc>
        <w:tc>
          <w:tcPr>
            <w:tcW w:type="dxa" w:w="3572"/>
          </w:tcPr>
          <w:p>
            <w:r/>
            <w:r>
              <w:rPr>
                <w:sz w:val="18"/>
              </w:rPr>
              <w:t>gross_margin - mktg - freight - admin</w:t>
            </w:r>
          </w:p>
        </w:tc>
        <w:tc>
          <w:tcPr>
            <w:tcW w:type="dxa" w:w="1134"/>
          </w:tcPr>
          <w:p>
            <w:r/>
            <w:r>
              <w:rPr>
                <w:sz w:val="18"/>
              </w:rPr>
              <w:t>676.40</w:t>
            </w:r>
          </w:p>
        </w:tc>
        <w:tc>
          <w:tcPr>
            <w:tcW w:type="dxa" w:w="1247"/>
          </w:tcPr>
          <w:p>
            <w:r/>
            <w:r>
              <w:rPr>
                <w:sz w:val="18"/>
              </w:rPr>
              <w:t>4.23%</w:t>
            </w:r>
          </w:p>
        </w:tc>
      </w:tr>
    </w:tbl>
    <w:p/>
    <w:p>
      <w:r>
        <w:rPr>
          <w:b w:val="0"/>
          <w:i w:val="0"/>
          <w:sz w:val="21"/>
        </w:rPr>
        <w:t>Peps Spring is the only brand where Admin OHS and Marketing OHS are flat ₹/unit instead of %RM — this means Peps margins are structurally more sensitive to RM cost changes than the other three brands (a %RM overhead shrinks proportionally when RM falls; a flat ₹ overhead does not).</w:t>
      </w:r>
    </w:p>
    <w:p>
      <w:pPr>
        <w:pStyle w:val="Heading2"/>
      </w:pPr>
      <w:r>
        <w:t>A.4 — Below-the-line leakage (EBITDA → Net Margin)</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1701"/>
            <w:shd w:val="clear" w:color="auto" w:fill="1F3864"/>
          </w:tcPr>
          <w:p>
            <w:r/>
            <w:r>
              <w:rPr>
                <w:b/>
                <w:color w:val="FFFFFF"/>
                <w:sz w:val="19"/>
              </w:rPr>
              <w:t>Stage</w:t>
            </w:r>
          </w:p>
        </w:tc>
        <w:tc>
          <w:tcPr>
            <w:tcW w:type="dxa" w:w="4139"/>
            <w:shd w:val="clear" w:color="auto" w:fill="1F3864"/>
          </w:tcPr>
          <w:p>
            <w:r/>
            <w:r>
              <w:rPr>
                <w:b/>
                <w:color w:val="FFFFFF"/>
                <w:sz w:val="19"/>
              </w:rPr>
              <w:t>Current Formula (engine.py)</w:t>
            </w:r>
          </w:p>
        </w:tc>
        <w:tc>
          <w:tcPr>
            <w:tcW w:type="dxa" w:w="1134"/>
            <w:shd w:val="clear" w:color="auto" w:fill="1F3864"/>
          </w:tcPr>
          <w:p>
            <w:r/>
            <w:r>
              <w:rPr>
                <w:b/>
                <w:color w:val="FFFFFF"/>
                <w:sz w:val="19"/>
              </w:rPr>
              <w:t>₹</w:t>
            </w:r>
          </w:p>
        </w:tc>
        <w:tc>
          <w:tcPr>
            <w:tcW w:type="dxa" w:w="680"/>
            <w:shd w:val="clear" w:color="auto" w:fill="1F3864"/>
          </w:tcPr>
          <w:p>
            <w:r/>
            <w:r>
              <w:rPr>
                <w:b/>
                <w:color w:val="FFFFFF"/>
                <w:sz w:val="19"/>
              </w:rPr>
              <w:t>% of MRP</w:t>
            </w:r>
          </w:p>
        </w:tc>
      </w:tr>
      <w:tr>
        <w:tc>
          <w:tcPr>
            <w:tcW w:type="dxa" w:w="1701"/>
          </w:tcPr>
          <w:p>
            <w:r/>
            <w:r>
              <w:rPr>
                <w:sz w:val="18"/>
              </w:rPr>
              <w:t>Finance Cost</w:t>
            </w:r>
          </w:p>
        </w:tc>
        <w:tc>
          <w:tcPr>
            <w:tcW w:type="dxa" w:w="4139"/>
          </w:tcPr>
          <w:p>
            <w:r/>
            <w:r>
              <w:rPr>
                <w:sz w:val="18"/>
              </w:rPr>
              <w:t>rm_cost * 2.04% (all brands)</w:t>
            </w:r>
          </w:p>
        </w:tc>
        <w:tc>
          <w:tcPr>
            <w:tcW w:type="dxa" w:w="1134"/>
          </w:tcPr>
          <w:p>
            <w:r/>
            <w:r>
              <w:rPr>
                <w:sz w:val="18"/>
              </w:rPr>
              <w:t>65.94</w:t>
            </w:r>
          </w:p>
        </w:tc>
        <w:tc>
          <w:tcPr>
            <w:tcW w:type="dxa" w:w="680"/>
          </w:tcPr>
          <w:p>
            <w:r/>
            <w:r>
              <w:rPr>
                <w:sz w:val="18"/>
              </w:rPr>
              <w:t>0.41%</w:t>
            </w:r>
          </w:p>
        </w:tc>
      </w:tr>
      <w:tr>
        <w:tc>
          <w:tcPr>
            <w:tcW w:type="dxa" w:w="1701"/>
          </w:tcPr>
          <w:p>
            <w:r/>
            <w:r>
              <w:rPr>
                <w:sz w:val="18"/>
              </w:rPr>
              <w:t>Depreciation</w:t>
            </w:r>
          </w:p>
        </w:tc>
        <w:tc>
          <w:tcPr>
            <w:tcW w:type="dxa" w:w="4139"/>
          </w:tcPr>
          <w:p>
            <w:r/>
            <w:r>
              <w:rPr>
                <w:sz w:val="18"/>
              </w:rPr>
              <w:t>0% for Peps; 2.59% RM (Cirrus/Italiano); 1.55% RM (Accessories)</w:t>
            </w:r>
          </w:p>
        </w:tc>
        <w:tc>
          <w:tcPr>
            <w:tcW w:type="dxa" w:w="1134"/>
          </w:tcPr>
          <w:p>
            <w:r/>
            <w:r>
              <w:rPr>
                <w:sz w:val="18"/>
              </w:rPr>
              <w:t>0.00</w:t>
            </w:r>
          </w:p>
        </w:tc>
        <w:tc>
          <w:tcPr>
            <w:tcW w:type="dxa" w:w="680"/>
          </w:tcPr>
          <w:p>
            <w:r/>
            <w:r>
              <w:rPr>
                <w:sz w:val="18"/>
              </w:rPr>
              <w:t>0.00%</w:t>
            </w:r>
          </w:p>
        </w:tc>
      </w:tr>
      <w:tr>
        <w:tc>
          <w:tcPr>
            <w:tcW w:type="dxa" w:w="1701"/>
          </w:tcPr>
          <w:p>
            <w:r/>
            <w:r>
              <w:rPr>
                <w:sz w:val="18"/>
              </w:rPr>
              <w:t>= EBT</w:t>
            </w:r>
          </w:p>
        </w:tc>
        <w:tc>
          <w:tcPr>
            <w:tcW w:type="dxa" w:w="4139"/>
          </w:tcPr>
          <w:p>
            <w:r/>
            <w:r>
              <w:rPr>
                <w:sz w:val="18"/>
              </w:rPr>
              <w:t>ebitda - finance_cost - depreciation</w:t>
            </w:r>
          </w:p>
        </w:tc>
        <w:tc>
          <w:tcPr>
            <w:tcW w:type="dxa" w:w="1134"/>
          </w:tcPr>
          <w:p>
            <w:r/>
            <w:r>
              <w:rPr>
                <w:sz w:val="18"/>
              </w:rPr>
              <w:t>610.46</w:t>
            </w:r>
          </w:p>
        </w:tc>
        <w:tc>
          <w:tcPr>
            <w:tcW w:type="dxa" w:w="680"/>
          </w:tcPr>
          <w:p>
            <w:r/>
            <w:r>
              <w:rPr>
                <w:sz w:val="18"/>
              </w:rPr>
              <w:t>3.82%</w:t>
            </w:r>
          </w:p>
        </w:tc>
      </w:tr>
      <w:tr>
        <w:tc>
          <w:tcPr>
            <w:tcW w:type="dxa" w:w="1701"/>
          </w:tcPr>
          <w:p>
            <w:r/>
            <w:r>
              <w:rPr>
                <w:sz w:val="18"/>
              </w:rPr>
              <w:t>Direct Taxes</w:t>
            </w:r>
          </w:p>
        </w:tc>
        <w:tc>
          <w:tcPr>
            <w:tcW w:type="dxa" w:w="4139"/>
          </w:tcPr>
          <w:p>
            <w:r/>
            <w:r>
              <w:rPr>
                <w:sz w:val="18"/>
              </w:rPr>
              <w:t>ebt * tax_rate  — 0% Peps, 25.17% others, applied even if EBT&lt;0</w:t>
            </w:r>
          </w:p>
        </w:tc>
        <w:tc>
          <w:tcPr>
            <w:tcW w:type="dxa" w:w="1134"/>
          </w:tcPr>
          <w:p>
            <w:r/>
            <w:r>
              <w:rPr>
                <w:sz w:val="18"/>
              </w:rPr>
              <w:t>0.00</w:t>
            </w:r>
          </w:p>
        </w:tc>
        <w:tc>
          <w:tcPr>
            <w:tcW w:type="dxa" w:w="680"/>
          </w:tcPr>
          <w:p>
            <w:r/>
            <w:r>
              <w:rPr>
                <w:sz w:val="18"/>
              </w:rPr>
              <w:t>0.00%</w:t>
            </w:r>
          </w:p>
        </w:tc>
      </w:tr>
      <w:tr>
        <w:tc>
          <w:tcPr>
            <w:tcW w:type="dxa" w:w="1701"/>
          </w:tcPr>
          <w:p>
            <w:r/>
            <w:r>
              <w:rPr>
                <w:sz w:val="18"/>
              </w:rPr>
              <w:t>= NET MARGIN</w:t>
            </w:r>
          </w:p>
        </w:tc>
        <w:tc>
          <w:tcPr>
            <w:tcW w:type="dxa" w:w="4139"/>
          </w:tcPr>
          <w:p>
            <w:r/>
            <w:r>
              <w:rPr>
                <w:sz w:val="18"/>
              </w:rPr>
              <w:t>ebt - direct_taxes</w:t>
            </w:r>
          </w:p>
        </w:tc>
        <w:tc>
          <w:tcPr>
            <w:tcW w:type="dxa" w:w="1134"/>
          </w:tcPr>
          <w:p>
            <w:r/>
            <w:r>
              <w:rPr>
                <w:sz w:val="18"/>
              </w:rPr>
              <w:t>610.46</w:t>
            </w:r>
          </w:p>
        </w:tc>
        <w:tc>
          <w:tcPr>
            <w:tcW w:type="dxa" w:w="680"/>
          </w:tcPr>
          <w:p>
            <w:r/>
            <w:r>
              <w:rPr>
                <w:sz w:val="18"/>
              </w:rPr>
              <w:t>3.82%</w:t>
            </w:r>
          </w:p>
        </w:tc>
      </w:tr>
    </w:tbl>
    <w:p/>
    <w:p>
      <w:r>
        <w:rPr>
          <w:b w:val="0"/>
          <w:i w:val="0"/>
          <w:sz w:val="21"/>
        </w:rPr>
        <w:t>Net Margin % is reported on Net Sales, not MRP (net_margin / net_sales = 8.62% here vs 3.82% of MRP) — this is the number the HTML tool colour-codes (green ≥12%, amber 6-12%, red &lt;6%). Keep the two in mind separately: 8.62% of net sales corresponds to only 3.82% of the original MRP rupee.</w:t>
      </w:r>
    </w:p>
    <w:p>
      <w:pPr>
        <w:pStyle w:val="Heading2"/>
      </w:pPr>
      <w:r>
        <w:t>A.5 — Brand comparison of controllable trade levers</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984"/>
            <w:shd w:val="clear" w:color="auto" w:fill="1F3864"/>
          </w:tcPr>
          <w:p>
            <w:r/>
            <w:r>
              <w:rPr>
                <w:b/>
                <w:color w:val="FFFFFF"/>
                <w:sz w:val="19"/>
              </w:rPr>
              <w:t>Lever</w:t>
            </w:r>
          </w:p>
        </w:tc>
        <w:tc>
          <w:tcPr>
            <w:tcW w:type="dxa" w:w="1247"/>
            <w:shd w:val="clear" w:color="auto" w:fill="1F3864"/>
          </w:tcPr>
          <w:p>
            <w:r/>
            <w:r>
              <w:rPr>
                <w:b/>
                <w:color w:val="FFFFFF"/>
                <w:sz w:val="19"/>
              </w:rPr>
              <w:t>Peps</w:t>
            </w:r>
          </w:p>
        </w:tc>
        <w:tc>
          <w:tcPr>
            <w:tcW w:type="dxa" w:w="1701"/>
            <w:shd w:val="clear" w:color="auto" w:fill="1F3864"/>
          </w:tcPr>
          <w:p>
            <w:r/>
            <w:r>
              <w:rPr>
                <w:b/>
                <w:color w:val="FFFFFF"/>
                <w:sz w:val="19"/>
              </w:rPr>
              <w:t>Cirrus</w:t>
            </w:r>
          </w:p>
        </w:tc>
        <w:tc>
          <w:tcPr>
            <w:tcW w:type="dxa" w:w="1304"/>
            <w:shd w:val="clear" w:color="auto" w:fill="1F3864"/>
          </w:tcPr>
          <w:p>
            <w:r/>
            <w:r>
              <w:rPr>
                <w:b/>
                <w:color w:val="FFFFFF"/>
                <w:sz w:val="19"/>
              </w:rPr>
              <w:t>Italiano</w:t>
            </w:r>
          </w:p>
        </w:tc>
        <w:tc>
          <w:tcPr>
            <w:tcW w:type="dxa" w:w="1417"/>
            <w:shd w:val="clear" w:color="auto" w:fill="1F3864"/>
          </w:tcPr>
          <w:p>
            <w:r/>
            <w:r>
              <w:rPr>
                <w:b/>
                <w:color w:val="FFFFFF"/>
                <w:sz w:val="19"/>
              </w:rPr>
              <w:t>Accessories</w:t>
            </w:r>
          </w:p>
        </w:tc>
      </w:tr>
      <w:tr>
        <w:tc>
          <w:tcPr>
            <w:tcW w:type="dxa" w:w="1984"/>
          </w:tcPr>
          <w:p>
            <w:r/>
            <w:r>
              <w:rPr>
                <w:sz w:val="18"/>
              </w:rPr>
              <w:t>Dealer margin</w:t>
            </w:r>
          </w:p>
        </w:tc>
        <w:tc>
          <w:tcPr>
            <w:tcW w:type="dxa" w:w="1247"/>
          </w:tcPr>
          <w:p>
            <w:r/>
            <w:r>
              <w:rPr>
                <w:sz w:val="18"/>
              </w:rPr>
              <w:t>30%</w:t>
            </w:r>
          </w:p>
        </w:tc>
        <w:tc>
          <w:tcPr>
            <w:tcW w:type="dxa" w:w="1701"/>
          </w:tcPr>
          <w:p>
            <w:r/>
            <w:r>
              <w:rPr>
                <w:sz w:val="18"/>
              </w:rPr>
              <w:t>30%</w:t>
            </w:r>
          </w:p>
        </w:tc>
        <w:tc>
          <w:tcPr>
            <w:tcW w:type="dxa" w:w="1304"/>
          </w:tcPr>
          <w:p>
            <w:r/>
            <w:r>
              <w:rPr>
                <w:sz w:val="18"/>
              </w:rPr>
              <w:t>40%</w:t>
            </w:r>
          </w:p>
        </w:tc>
        <w:tc>
          <w:tcPr>
            <w:tcW w:type="dxa" w:w="1417"/>
          </w:tcPr>
          <w:p>
            <w:r/>
            <w:r>
              <w:rPr>
                <w:sz w:val="18"/>
              </w:rPr>
              <w:t>50%</w:t>
            </w:r>
          </w:p>
        </w:tc>
      </w:tr>
      <w:tr>
        <w:tc>
          <w:tcPr>
            <w:tcW w:type="dxa" w:w="1984"/>
          </w:tcPr>
          <w:p>
            <w:r/>
            <w:r>
              <w:rPr>
                <w:sz w:val="18"/>
              </w:rPr>
              <w:t>Distributor margin</w:t>
            </w:r>
          </w:p>
        </w:tc>
        <w:tc>
          <w:tcPr>
            <w:tcW w:type="dxa" w:w="1247"/>
          </w:tcPr>
          <w:p>
            <w:r/>
            <w:r>
              <w:rPr>
                <w:sz w:val="18"/>
              </w:rPr>
              <w:t>10%</w:t>
            </w:r>
          </w:p>
        </w:tc>
        <w:tc>
          <w:tcPr>
            <w:tcW w:type="dxa" w:w="1701"/>
          </w:tcPr>
          <w:p>
            <w:r/>
            <w:r>
              <w:rPr>
                <w:sz w:val="18"/>
              </w:rPr>
              <w:t>10%</w:t>
            </w:r>
          </w:p>
        </w:tc>
        <w:tc>
          <w:tcPr>
            <w:tcW w:type="dxa" w:w="1304"/>
          </w:tcPr>
          <w:p>
            <w:r/>
            <w:r>
              <w:rPr>
                <w:sz w:val="18"/>
              </w:rPr>
              <w:t>10%</w:t>
            </w:r>
          </w:p>
        </w:tc>
        <w:tc>
          <w:tcPr>
            <w:tcW w:type="dxa" w:w="1417"/>
          </w:tcPr>
          <w:p>
            <w:r/>
            <w:r>
              <w:rPr>
                <w:sz w:val="18"/>
              </w:rPr>
              <w:t>0%</w:t>
            </w:r>
          </w:p>
        </w:tc>
      </w:tr>
      <w:tr>
        <w:tc>
          <w:tcPr>
            <w:tcW w:type="dxa" w:w="1984"/>
          </w:tcPr>
          <w:p>
            <w:r/>
            <w:r>
              <w:rPr>
                <w:sz w:val="18"/>
              </w:rPr>
              <w:t>CD</w:t>
            </w:r>
          </w:p>
        </w:tc>
        <w:tc>
          <w:tcPr>
            <w:tcW w:type="dxa" w:w="1247"/>
          </w:tcPr>
          <w:p>
            <w:r/>
            <w:r>
              <w:rPr>
                <w:sz w:val="18"/>
              </w:rPr>
              <w:t>3%</w:t>
            </w:r>
          </w:p>
        </w:tc>
        <w:tc>
          <w:tcPr>
            <w:tcW w:type="dxa" w:w="1701"/>
          </w:tcPr>
          <w:p>
            <w:r/>
            <w:r>
              <w:rPr>
                <w:sz w:val="18"/>
              </w:rPr>
              <w:t>3%</w:t>
            </w:r>
          </w:p>
        </w:tc>
        <w:tc>
          <w:tcPr>
            <w:tcW w:type="dxa" w:w="1304"/>
          </w:tcPr>
          <w:p>
            <w:r/>
            <w:r>
              <w:rPr>
                <w:sz w:val="18"/>
              </w:rPr>
              <w:t>3%</w:t>
            </w:r>
          </w:p>
        </w:tc>
        <w:tc>
          <w:tcPr>
            <w:tcW w:type="dxa" w:w="1417"/>
          </w:tcPr>
          <w:p>
            <w:r/>
            <w:r>
              <w:rPr>
                <w:sz w:val="18"/>
              </w:rPr>
              <w:t>3%</w:t>
            </w:r>
          </w:p>
        </w:tc>
      </w:tr>
      <w:tr>
        <w:tc>
          <w:tcPr>
            <w:tcW w:type="dxa" w:w="1984"/>
          </w:tcPr>
          <w:p>
            <w:r/>
            <w:r>
              <w:rPr>
                <w:sz w:val="18"/>
              </w:rPr>
              <w:t>DCT</w:t>
            </w:r>
          </w:p>
        </w:tc>
        <w:tc>
          <w:tcPr>
            <w:tcW w:type="dxa" w:w="1247"/>
          </w:tcPr>
          <w:p>
            <w:r/>
            <w:r>
              <w:rPr>
                <w:sz w:val="18"/>
              </w:rPr>
              <w:t>4%</w:t>
            </w:r>
          </w:p>
        </w:tc>
        <w:tc>
          <w:tcPr>
            <w:tcW w:type="dxa" w:w="1701"/>
          </w:tcPr>
          <w:p>
            <w:r/>
            <w:r>
              <w:rPr>
                <w:sz w:val="18"/>
              </w:rPr>
              <w:t>2.85%</w:t>
            </w:r>
          </w:p>
        </w:tc>
        <w:tc>
          <w:tcPr>
            <w:tcW w:type="dxa" w:w="1304"/>
          </w:tcPr>
          <w:p>
            <w:r/>
            <w:r>
              <w:rPr>
                <w:sz w:val="18"/>
              </w:rPr>
              <w:t>4%</w:t>
            </w:r>
          </w:p>
        </w:tc>
        <w:tc>
          <w:tcPr>
            <w:tcW w:type="dxa" w:w="1417"/>
          </w:tcPr>
          <w:p>
            <w:r/>
            <w:r>
              <w:rPr>
                <w:sz w:val="18"/>
              </w:rPr>
              <w:t>0%</w:t>
            </w:r>
          </w:p>
        </w:tc>
      </w:tr>
      <w:tr>
        <w:tc>
          <w:tcPr>
            <w:tcW w:type="dxa" w:w="1984"/>
          </w:tcPr>
          <w:p>
            <w:r/>
            <w:r>
              <w:rPr>
                <w:sz w:val="18"/>
              </w:rPr>
              <w:t>TOD</w:t>
            </w:r>
          </w:p>
        </w:tc>
        <w:tc>
          <w:tcPr>
            <w:tcW w:type="dxa" w:w="1247"/>
          </w:tcPr>
          <w:p>
            <w:r/>
            <w:r>
              <w:rPr>
                <w:sz w:val="18"/>
              </w:rPr>
              <w:t>3%</w:t>
            </w:r>
          </w:p>
        </w:tc>
        <w:tc>
          <w:tcPr>
            <w:tcW w:type="dxa" w:w="1701"/>
          </w:tcPr>
          <w:p>
            <w:r/>
            <w:r>
              <w:rPr>
                <w:sz w:val="18"/>
              </w:rPr>
              <w:t>4%</w:t>
            </w:r>
          </w:p>
        </w:tc>
        <w:tc>
          <w:tcPr>
            <w:tcW w:type="dxa" w:w="1304"/>
          </w:tcPr>
          <w:p>
            <w:r/>
            <w:r>
              <w:rPr>
                <w:sz w:val="18"/>
              </w:rPr>
              <w:t>3%</w:t>
            </w:r>
          </w:p>
        </w:tc>
        <w:tc>
          <w:tcPr>
            <w:tcW w:type="dxa" w:w="1417"/>
          </w:tcPr>
          <w:p>
            <w:r/>
            <w:r>
              <w:rPr>
                <w:sz w:val="18"/>
              </w:rPr>
              <w:t>0%</w:t>
            </w:r>
          </w:p>
        </w:tc>
      </w:tr>
      <w:tr>
        <w:tc>
          <w:tcPr>
            <w:tcW w:type="dxa" w:w="1984"/>
          </w:tcPr>
          <w:p>
            <w:r/>
            <w:r>
              <w:rPr>
                <w:sz w:val="18"/>
              </w:rPr>
              <w:t>Trade scheme (%RM)</w:t>
            </w:r>
          </w:p>
        </w:tc>
        <w:tc>
          <w:tcPr>
            <w:tcW w:type="dxa" w:w="1247"/>
          </w:tcPr>
          <w:p>
            <w:r/>
            <w:r>
              <w:rPr>
                <w:sz w:val="18"/>
              </w:rPr>
              <w:t>13.24%</w:t>
            </w:r>
          </w:p>
        </w:tc>
        <w:tc>
          <w:tcPr>
            <w:tcW w:type="dxa" w:w="1701"/>
          </w:tcPr>
          <w:p>
            <w:r/>
            <w:r>
              <w:rPr>
                <w:sz w:val="18"/>
              </w:rPr>
              <w:t>13.38–14.86%</w:t>
            </w:r>
          </w:p>
        </w:tc>
        <w:tc>
          <w:tcPr>
            <w:tcW w:type="dxa" w:w="1304"/>
          </w:tcPr>
          <w:p>
            <w:r/>
            <w:r>
              <w:rPr>
                <w:sz w:val="18"/>
              </w:rPr>
              <w:t>18.37%</w:t>
            </w:r>
          </w:p>
        </w:tc>
        <w:tc>
          <w:tcPr>
            <w:tcW w:type="dxa" w:w="1417"/>
          </w:tcPr>
          <w:p>
            <w:r/>
            <w:r>
              <w:rPr>
                <w:sz w:val="18"/>
              </w:rPr>
              <w:t>0%</w:t>
            </w:r>
          </w:p>
        </w:tc>
      </w:tr>
      <w:tr>
        <w:tc>
          <w:tcPr>
            <w:tcW w:type="dxa" w:w="1984"/>
          </w:tcPr>
          <w:p>
            <w:r/>
            <w:r>
              <w:rPr>
                <w:sz w:val="18"/>
              </w:rPr>
              <w:t>Admin OHS</w:t>
            </w:r>
          </w:p>
        </w:tc>
        <w:tc>
          <w:tcPr>
            <w:tcW w:type="dxa" w:w="1247"/>
          </w:tcPr>
          <w:p>
            <w:r/>
            <w:r>
              <w:rPr>
                <w:sz w:val="18"/>
              </w:rPr>
              <w:t>₹500 flat</w:t>
            </w:r>
          </w:p>
        </w:tc>
        <w:tc>
          <w:tcPr>
            <w:tcW w:type="dxa" w:w="1701"/>
          </w:tcPr>
          <w:p>
            <w:r/>
            <w:r>
              <w:rPr>
                <w:sz w:val="18"/>
              </w:rPr>
              <w:t>18.15% RM</w:t>
            </w:r>
          </w:p>
        </w:tc>
        <w:tc>
          <w:tcPr>
            <w:tcW w:type="dxa" w:w="1304"/>
          </w:tcPr>
          <w:p>
            <w:r/>
            <w:r>
              <w:rPr>
                <w:sz w:val="18"/>
              </w:rPr>
              <w:t>23.71% RM</w:t>
            </w:r>
          </w:p>
        </w:tc>
        <w:tc>
          <w:tcPr>
            <w:tcW w:type="dxa" w:w="1417"/>
          </w:tcPr>
          <w:p>
            <w:r/>
            <w:r>
              <w:rPr>
                <w:sz w:val="18"/>
              </w:rPr>
              <w:t>18.15% RM</w:t>
            </w:r>
          </w:p>
        </w:tc>
      </w:tr>
      <w:tr>
        <w:tc>
          <w:tcPr>
            <w:tcW w:type="dxa" w:w="1984"/>
          </w:tcPr>
          <w:p>
            <w:r/>
            <w:r>
              <w:rPr>
                <w:sz w:val="18"/>
              </w:rPr>
              <w:t>Marketing OHS</w:t>
            </w:r>
          </w:p>
        </w:tc>
        <w:tc>
          <w:tcPr>
            <w:tcW w:type="dxa" w:w="1247"/>
          </w:tcPr>
          <w:p>
            <w:r/>
            <w:r>
              <w:rPr>
                <w:sz w:val="18"/>
              </w:rPr>
              <w:t>₹1,516 flat</w:t>
            </w:r>
          </w:p>
        </w:tc>
        <w:tc>
          <w:tcPr>
            <w:tcW w:type="dxa" w:w="1701"/>
          </w:tcPr>
          <w:p>
            <w:r/>
            <w:r>
              <w:rPr>
                <w:sz w:val="18"/>
              </w:rPr>
              <w:t>16.72% RM</w:t>
            </w:r>
          </w:p>
        </w:tc>
        <w:tc>
          <w:tcPr>
            <w:tcW w:type="dxa" w:w="1304"/>
          </w:tcPr>
          <w:p>
            <w:r/>
            <w:r>
              <w:rPr>
                <w:sz w:val="18"/>
              </w:rPr>
              <w:t>16.30% RM</w:t>
            </w:r>
          </w:p>
        </w:tc>
        <w:tc>
          <w:tcPr>
            <w:tcW w:type="dxa" w:w="1417"/>
          </w:tcPr>
          <w:p>
            <w:r/>
            <w:r>
              <w:rPr>
                <w:sz w:val="18"/>
              </w:rPr>
              <w:t>16.72% RM</w:t>
            </w:r>
          </w:p>
        </w:tc>
      </w:tr>
      <w:tr>
        <w:tc>
          <w:tcPr>
            <w:tcW w:type="dxa" w:w="1984"/>
          </w:tcPr>
          <w:p>
            <w:r/>
            <w:r>
              <w:rPr>
                <w:sz w:val="18"/>
              </w:rPr>
              <w:t>Depreciation</w:t>
            </w:r>
          </w:p>
        </w:tc>
        <w:tc>
          <w:tcPr>
            <w:tcW w:type="dxa" w:w="1247"/>
          </w:tcPr>
          <w:p>
            <w:r/>
            <w:r>
              <w:rPr>
                <w:sz w:val="18"/>
              </w:rPr>
              <w:t>0%</w:t>
            </w:r>
          </w:p>
        </w:tc>
        <w:tc>
          <w:tcPr>
            <w:tcW w:type="dxa" w:w="1701"/>
          </w:tcPr>
          <w:p>
            <w:r/>
            <w:r>
              <w:rPr>
                <w:sz w:val="18"/>
              </w:rPr>
              <w:t>2.59% RM</w:t>
            </w:r>
          </w:p>
        </w:tc>
        <w:tc>
          <w:tcPr>
            <w:tcW w:type="dxa" w:w="1304"/>
          </w:tcPr>
          <w:p>
            <w:r/>
            <w:r>
              <w:rPr>
                <w:sz w:val="18"/>
              </w:rPr>
              <w:t>2.59% RM</w:t>
            </w:r>
          </w:p>
        </w:tc>
        <w:tc>
          <w:tcPr>
            <w:tcW w:type="dxa" w:w="1417"/>
          </w:tcPr>
          <w:p>
            <w:r/>
            <w:r>
              <w:rPr>
                <w:sz w:val="18"/>
              </w:rPr>
              <w:t>1.55% RM</w:t>
            </w:r>
          </w:p>
        </w:tc>
      </w:tr>
      <w:tr>
        <w:tc>
          <w:tcPr>
            <w:tcW w:type="dxa" w:w="1984"/>
          </w:tcPr>
          <w:p>
            <w:r/>
            <w:r>
              <w:rPr>
                <w:sz w:val="18"/>
              </w:rPr>
              <w:t>Tax rate</w:t>
            </w:r>
          </w:p>
        </w:tc>
        <w:tc>
          <w:tcPr>
            <w:tcW w:type="dxa" w:w="1247"/>
          </w:tcPr>
          <w:p>
            <w:r/>
            <w:r>
              <w:rPr>
                <w:sz w:val="18"/>
              </w:rPr>
              <w:t>0%</w:t>
            </w:r>
          </w:p>
        </w:tc>
        <w:tc>
          <w:tcPr>
            <w:tcW w:type="dxa" w:w="1701"/>
          </w:tcPr>
          <w:p>
            <w:r/>
            <w:r>
              <w:rPr>
                <w:sz w:val="18"/>
              </w:rPr>
              <w:t>25.17%</w:t>
            </w:r>
          </w:p>
        </w:tc>
        <w:tc>
          <w:tcPr>
            <w:tcW w:type="dxa" w:w="1304"/>
          </w:tcPr>
          <w:p>
            <w:r/>
            <w:r>
              <w:rPr>
                <w:sz w:val="18"/>
              </w:rPr>
              <w:t>25.17%</w:t>
            </w:r>
          </w:p>
        </w:tc>
        <w:tc>
          <w:tcPr>
            <w:tcW w:type="dxa" w:w="1417"/>
          </w:tcPr>
          <w:p>
            <w:r/>
            <w:r>
              <w:rPr>
                <w:sz w:val="18"/>
              </w:rPr>
              <w:t>25.17%</w:t>
            </w:r>
          </w:p>
        </w:tc>
      </w:tr>
    </w:tbl>
    <w:p/>
    <w:p>
      <w:r>
        <w:rPr>
          <w:b w:val="0"/>
          <w:i w:val="0"/>
          <w:sz w:val="21"/>
        </w:rPr>
        <w:t>Italiano carries the highest dealer margin (40%) AND the highest trade scheme (18.37% of RM) AND the highest admin OHS (23.71% of RM) of any brand — yet still posts the second-highest average net margin (27.8%), because its MRP-to-RM ratio is far larger (premium positioning absorbs the extra trade cost). This is the single biggest lever difference across brands and is worth flagging to the MD as context for any Italiano pricing discussion.</w:t>
      </w:r>
    </w:p>
    <w:p>
      <w:r>
        <w:br w:type="page"/>
      </w:r>
    </w:p>
    <w:p>
      <w:pPr>
        <w:pStyle w:val="Heading1"/>
      </w:pPr>
      <w:r>
        <w:t>Part B — SKU-Level Leakage: Loss-Making &amp; Thin-Margin Products</w:t>
      </w:r>
    </w:p>
    <w:p>
      <w:pPr>
        <w:pStyle w:val="Heading2"/>
      </w:pPr>
      <w:r>
        <w:t>B.1 — Fleece Blanket 90x100 (Accessories, BO) — Net Margin -13.23%</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701"/>
            <w:shd w:val="clear" w:color="auto" w:fill="1F3864"/>
          </w:tcPr>
          <w:p>
            <w:r/>
            <w:r>
              <w:rPr>
                <w:b/>
                <w:color w:val="FFFFFF"/>
                <w:sz w:val="19"/>
              </w:rPr>
              <w:t>Line</w:t>
            </w:r>
          </w:p>
        </w:tc>
        <w:tc>
          <w:tcPr>
            <w:tcW w:type="dxa" w:w="1417"/>
            <w:shd w:val="clear" w:color="auto" w:fill="1F3864"/>
          </w:tcPr>
          <w:p>
            <w:r/>
            <w:r>
              <w:rPr>
                <w:b/>
                <w:color w:val="FFFFFF"/>
                <w:sz w:val="19"/>
              </w:rPr>
              <w:t>% of MRP</w:t>
            </w:r>
          </w:p>
        </w:tc>
        <w:tc>
          <w:tcPr>
            <w:tcW w:type="dxa" w:w="5386"/>
            <w:shd w:val="clear" w:color="auto" w:fill="1F3864"/>
          </w:tcPr>
          <w:p>
            <w:r/>
            <w:r>
              <w:rPr>
                <w:b/>
                <w:color w:val="FFFFFF"/>
                <w:sz w:val="19"/>
              </w:rPr>
              <w:t>Comment</w:t>
            </w:r>
          </w:p>
        </w:tc>
      </w:tr>
      <w:tr>
        <w:tc>
          <w:tcPr>
            <w:tcW w:type="dxa" w:w="1701"/>
          </w:tcPr>
          <w:p>
            <w:r/>
            <w:r>
              <w:rPr>
                <w:sz w:val="18"/>
              </w:rPr>
              <w:t>RM Cost</w:t>
            </w:r>
          </w:p>
        </w:tc>
        <w:tc>
          <w:tcPr>
            <w:tcW w:type="dxa" w:w="1417"/>
          </w:tcPr>
          <w:p>
            <w:r/>
            <w:r>
              <w:rPr>
                <w:sz w:val="18"/>
              </w:rPr>
              <w:t>33.12%</w:t>
            </w:r>
          </w:p>
        </w:tc>
        <w:tc>
          <w:tcPr>
            <w:tcW w:type="dxa" w:w="5386"/>
          </w:tcPr>
          <w:p>
            <w:r/>
            <w:r>
              <w:rPr>
                <w:sz w:val="18"/>
              </w:rPr>
              <w:t>Highest RM-to-MRP ratio of any SKU in the range (₹546 RM on ₹1,649 MRP)</w:t>
            </w:r>
          </w:p>
        </w:tc>
      </w:tr>
      <w:tr>
        <w:tc>
          <w:tcPr>
            <w:tcW w:type="dxa" w:w="1701"/>
          </w:tcPr>
          <w:p>
            <w:r/>
            <w:r>
              <w:rPr>
                <w:sz w:val="18"/>
              </w:rPr>
              <w:t>Admin OHS</w:t>
            </w:r>
          </w:p>
        </w:tc>
        <w:tc>
          <w:tcPr>
            <w:tcW w:type="dxa" w:w="1417"/>
          </w:tcPr>
          <w:p>
            <w:r/>
            <w:r>
              <w:rPr>
                <w:sz w:val="18"/>
              </w:rPr>
              <w:t>6.01%</w:t>
            </w:r>
          </w:p>
        </w:tc>
        <w:tc>
          <w:tcPr>
            <w:tcW w:type="dxa" w:w="5386"/>
          </w:tcPr>
          <w:p>
            <w:r/>
            <w:r>
              <w:rPr>
                <w:sz w:val="18"/>
              </w:rPr>
              <w:t>18.15% of RM — scales directly with the already-high RM base</w:t>
            </w:r>
          </w:p>
        </w:tc>
      </w:tr>
      <w:tr>
        <w:tc>
          <w:tcPr>
            <w:tcW w:type="dxa" w:w="1701"/>
          </w:tcPr>
          <w:p>
            <w:r/>
            <w:r>
              <w:rPr>
                <w:sz w:val="18"/>
              </w:rPr>
              <w:t>Marketing OHS</w:t>
            </w:r>
          </w:p>
        </w:tc>
        <w:tc>
          <w:tcPr>
            <w:tcW w:type="dxa" w:w="1417"/>
          </w:tcPr>
          <w:p>
            <w:r/>
            <w:r>
              <w:rPr>
                <w:sz w:val="18"/>
              </w:rPr>
              <w:t>5.54%</w:t>
            </w:r>
          </w:p>
        </w:tc>
        <w:tc>
          <w:tcPr>
            <w:tcW w:type="dxa" w:w="5386"/>
          </w:tcPr>
          <w:p>
            <w:r/>
            <w:r>
              <w:rPr>
                <w:sz w:val="18"/>
              </w:rPr>
              <w:t>16.72% of RM — same effect</w:t>
            </w:r>
          </w:p>
        </w:tc>
      </w:tr>
      <w:tr>
        <w:tc>
          <w:tcPr>
            <w:tcW w:type="dxa" w:w="1701"/>
          </w:tcPr>
          <w:p>
            <w:r/>
            <w:r>
              <w:rPr>
                <w:sz w:val="18"/>
              </w:rPr>
              <w:t>EBITDA</w:t>
            </w:r>
          </w:p>
        </w:tc>
        <w:tc>
          <w:tcPr>
            <w:tcW w:type="dxa" w:w="1417"/>
          </w:tcPr>
          <w:p>
            <w:r/>
            <w:r>
              <w:rPr>
                <w:sz w:val="18"/>
              </w:rPr>
              <w:t>-5.95%</w:t>
            </w:r>
          </w:p>
        </w:tc>
        <w:tc>
          <w:tcPr>
            <w:tcW w:type="dxa" w:w="5386"/>
          </w:tcPr>
          <w:p>
            <w:r/>
            <w:r>
              <w:rPr>
                <w:sz w:val="18"/>
              </w:rPr>
              <w:t>Already negative before Finance Cost / Depreciation / Tax</w:t>
            </w:r>
          </w:p>
        </w:tc>
      </w:tr>
      <w:tr>
        <w:tc>
          <w:tcPr>
            <w:tcW w:type="dxa" w:w="1701"/>
          </w:tcPr>
          <w:p>
            <w:r/>
            <w:r>
              <w:rPr>
                <w:sz w:val="18"/>
              </w:rPr>
              <w:t>Net Margin</w:t>
            </w:r>
          </w:p>
        </w:tc>
        <w:tc>
          <w:tcPr>
            <w:tcW w:type="dxa" w:w="1417"/>
          </w:tcPr>
          <w:p>
            <w:r/>
            <w:r>
              <w:rPr>
                <w:sz w:val="18"/>
              </w:rPr>
              <w:t>-5.34%</w:t>
            </w:r>
          </w:p>
        </w:tc>
        <w:tc>
          <w:tcPr>
            <w:tcW w:type="dxa" w:w="5386"/>
          </w:tcPr>
          <w:p>
            <w:r/>
            <w:r>
              <w:rPr>
                <w:sz w:val="18"/>
              </w:rPr>
              <w:t>Confirmed loss-making at current MRP/RM/rate-card combination</w:t>
            </w:r>
          </w:p>
        </w:tc>
      </w:tr>
    </w:tbl>
    <w:p/>
    <w:p>
      <w:r>
        <w:rPr>
          <w:b w:val="0"/>
          <w:i w:val="0"/>
          <w:sz w:val="21"/>
        </w:rPr>
        <w:t>Root cause: RM cost is a third of MRP — well above the ~20-27% RM/MRP ratio typical elsewhere in the range — so every %RM-based overhead (Admin, Marketing, Mfg OHS, Finance, Depreciation) compounds on an already-large base. Solution options: (i) reprice MRP upward — a ~₹220 MRP increase (~13%) would restore breakeven at current cost structure per the what-if logic already built into runner.py/HTML; (ii) renegotiate/reduce RM cost via Ramco BOM review, since this SKU's RM was flagged as an estimate, not a confirmed BOM cost; (iii) confirm this SKU is not cross-subsidised intentionally as a footfall/bundle item — if so, flag explicitly rather than leaving it unflagged red.</w:t>
      </w:r>
    </w:p>
    <w:p>
      <w:pPr>
        <w:pStyle w:val="Heading2"/>
      </w:pPr>
      <w:r>
        <w:t>B.2 — Kozybreeze 4" (Cirrus Foam) — Net Margin -7.09%</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701"/>
            <w:shd w:val="clear" w:color="auto" w:fill="1F3864"/>
          </w:tcPr>
          <w:p>
            <w:r/>
            <w:r>
              <w:rPr>
                <w:b/>
                <w:color w:val="FFFFFF"/>
                <w:sz w:val="19"/>
              </w:rPr>
              <w:t>Line</w:t>
            </w:r>
          </w:p>
        </w:tc>
        <w:tc>
          <w:tcPr>
            <w:tcW w:type="dxa" w:w="1417"/>
            <w:shd w:val="clear" w:color="auto" w:fill="1F3864"/>
          </w:tcPr>
          <w:p>
            <w:r/>
            <w:r>
              <w:rPr>
                <w:b/>
                <w:color w:val="FFFFFF"/>
                <w:sz w:val="19"/>
              </w:rPr>
              <w:t>% of MRP</w:t>
            </w:r>
          </w:p>
        </w:tc>
        <w:tc>
          <w:tcPr>
            <w:tcW w:type="dxa" w:w="5386"/>
            <w:shd w:val="clear" w:color="auto" w:fill="1F3864"/>
          </w:tcPr>
          <w:p>
            <w:r/>
            <w:r>
              <w:rPr>
                <w:b/>
                <w:color w:val="FFFFFF"/>
                <w:sz w:val="19"/>
              </w:rPr>
              <w:t>Comment</w:t>
            </w:r>
          </w:p>
        </w:tc>
      </w:tr>
      <w:tr>
        <w:tc>
          <w:tcPr>
            <w:tcW w:type="dxa" w:w="1701"/>
          </w:tcPr>
          <w:p>
            <w:r/>
            <w:r>
              <w:rPr>
                <w:sz w:val="18"/>
              </w:rPr>
              <w:t>RM Cost</w:t>
            </w:r>
          </w:p>
        </w:tc>
        <w:tc>
          <w:tcPr>
            <w:tcW w:type="dxa" w:w="1417"/>
          </w:tcPr>
          <w:p>
            <w:r/>
            <w:r>
              <w:rPr>
                <w:sz w:val="18"/>
              </w:rPr>
              <w:t>27.04%</w:t>
            </w:r>
          </w:p>
        </w:tc>
        <w:tc>
          <w:tcPr>
            <w:tcW w:type="dxa" w:w="5386"/>
          </w:tcPr>
          <w:p>
            <w:r/>
            <w:r>
              <w:rPr>
                <w:sz w:val="18"/>
              </w:rPr>
              <w:t>Highest RM/MRP ratio in the Cirrus range</w:t>
            </w:r>
          </w:p>
        </w:tc>
      </w:tr>
      <w:tr>
        <w:tc>
          <w:tcPr>
            <w:tcW w:type="dxa" w:w="1701"/>
          </w:tcPr>
          <w:p>
            <w:r/>
            <w:r>
              <w:rPr>
                <w:sz w:val="18"/>
              </w:rPr>
              <w:t>Trade Scheme</w:t>
            </w:r>
          </w:p>
        </w:tc>
        <w:tc>
          <w:tcPr>
            <w:tcW w:type="dxa" w:w="1417"/>
          </w:tcPr>
          <w:p>
            <w:r/>
            <w:r>
              <w:rPr>
                <w:sz w:val="18"/>
              </w:rPr>
              <w:t>3.62%</w:t>
            </w:r>
          </w:p>
        </w:tc>
        <w:tc>
          <w:tcPr>
            <w:tcW w:type="dxa" w:w="5386"/>
          </w:tcPr>
          <w:p>
            <w:r/>
            <w:r>
              <w:rPr>
                <w:sz w:val="18"/>
              </w:rPr>
              <w:t>Highest scheme drag of any SKU shown (10:1 ratio on a low MRP base)</w:t>
            </w:r>
          </w:p>
        </w:tc>
      </w:tr>
      <w:tr>
        <w:tc>
          <w:tcPr>
            <w:tcW w:type="dxa" w:w="1701"/>
          </w:tcPr>
          <w:p>
            <w:r/>
            <w:r>
              <w:rPr>
                <w:sz w:val="18"/>
              </w:rPr>
              <w:t>Admin + Marketing OHS</w:t>
            </w:r>
          </w:p>
        </w:tc>
        <w:tc>
          <w:tcPr>
            <w:tcW w:type="dxa" w:w="1417"/>
          </w:tcPr>
          <w:p>
            <w:r/>
            <w:r>
              <w:rPr>
                <w:sz w:val="18"/>
              </w:rPr>
              <w:t>9.43%</w:t>
            </w:r>
          </w:p>
        </w:tc>
        <w:tc>
          <w:tcPr>
            <w:tcW w:type="dxa" w:w="5386"/>
          </w:tcPr>
          <w:p>
            <w:r/>
            <w:r>
              <w:rPr>
                <w:sz w:val="18"/>
              </w:rPr>
              <w:t>18.15% + 16.72% of RM stacked</w:t>
            </w:r>
          </w:p>
        </w:tc>
      </w:tr>
      <w:tr>
        <w:tc>
          <w:tcPr>
            <w:tcW w:type="dxa" w:w="1701"/>
          </w:tcPr>
          <w:p>
            <w:r/>
            <w:r>
              <w:rPr>
                <w:sz w:val="18"/>
              </w:rPr>
              <w:t>EBITDA</w:t>
            </w:r>
          </w:p>
        </w:tc>
        <w:tc>
          <w:tcPr>
            <w:tcW w:type="dxa" w:w="1417"/>
          </w:tcPr>
          <w:p>
            <w:r/>
            <w:r>
              <w:rPr>
                <w:sz w:val="18"/>
              </w:rPr>
              <w:t>-2.86%</w:t>
            </w:r>
          </w:p>
        </w:tc>
        <w:tc>
          <w:tcPr>
            <w:tcW w:type="dxa" w:w="5386"/>
          </w:tcPr>
          <w:p>
            <w:r/>
            <w:r>
              <w:rPr>
                <w:sz w:val="18"/>
              </w:rPr>
              <w:t>Loss starts above the line</w:t>
            </w:r>
          </w:p>
        </w:tc>
      </w:tr>
      <w:tr>
        <w:tc>
          <w:tcPr>
            <w:tcW w:type="dxa" w:w="1701"/>
          </w:tcPr>
          <w:p>
            <w:r/>
            <w:r>
              <w:rPr>
                <w:sz w:val="18"/>
              </w:rPr>
              <w:t>Net Margin</w:t>
            </w:r>
          </w:p>
        </w:tc>
        <w:tc>
          <w:tcPr>
            <w:tcW w:type="dxa" w:w="1417"/>
          </w:tcPr>
          <w:p>
            <w:r/>
            <w:r>
              <w:rPr>
                <w:sz w:val="18"/>
              </w:rPr>
              <w:t>-3.07%</w:t>
            </w:r>
          </w:p>
        </w:tc>
        <w:tc>
          <w:tcPr>
            <w:tcW w:type="dxa" w:w="5386"/>
          </w:tcPr>
          <w:p>
            <w:r/>
            <w:r>
              <w:rPr>
                <w:sz w:val="18"/>
              </w:rPr>
              <w:t>Confirmed loss-making</w:t>
            </w:r>
          </w:p>
        </w:tc>
      </w:tr>
    </w:tbl>
    <w:p/>
    <w:p>
      <w:r>
        <w:rPr>
          <w:b w:val="0"/>
          <w:i w:val="0"/>
          <w:sz w:val="21"/>
        </w:rPr>
        <w:t>Root cause: this is the entry-price-point SKU in Kozybreeze (4" vs 5"/6"), so MRP is lowest in the sub-family while RM cost does not shrink proportionally (foam core cost has a floor). The 5" and 6" variants in the same family are already profitable (+2.50% and +10.38%), confirming the issue is specific to the 4" price point, not the Kozybreeze construction cost structure itself. Solution options: (i) reprice the 4" upward specifically, using the what-if tool already built; (ii) evaluate whether the 4" thickness should be discontinued in favour of steering volume to the 5"; (iii) check if a lower trade scheme ratio (vs 10:1) applies/should apply to the thinnest SKU.</w:t>
      </w:r>
    </w:p>
    <w:p>
      <w:pPr>
        <w:pStyle w:val="Heading2"/>
      </w:pPr>
      <w:r>
        <w:t>B.3 — Allura PU Moulded Pillow (Accessories, Manuf) — Net Margin +0.70%</w:t>
      </w:r>
    </w:p>
    <w:p>
      <w:r>
        <w:rPr>
          <w:b w:val="0"/>
          <w:i w:val="0"/>
          <w:sz w:val="21"/>
        </w:rPr>
        <w:t>EBITDA is barely positive (1.25% of MRP, ₹17.82) before Finance Cost, Depreciation and Tax consume almost all of it. RM cost is 24.25% of MRP — again above the Accessories-range norm. This is a manufactured (not buy-out) item, so direct labour (2.38% of MRP) and Mfg OHS (1.63%) apply on top of the buy-out items' cost base, leaving very little headroom. Recommend treating this as a watch-list SKU pending Ramco BOM confirmation of its RM cost.</w:t>
      </w:r>
    </w:p>
    <w:p>
      <w:pPr>
        <w:pStyle w:val="Heading2"/>
      </w:pPr>
      <w:r>
        <w:t>B.4 — Kozybreeze 5" — Net Margin +2.50%</w:t>
      </w:r>
    </w:p>
    <w:p>
      <w:r>
        <w:rPr>
          <w:b w:val="0"/>
          <w:i w:val="0"/>
          <w:sz w:val="21"/>
        </w:rPr>
        <w:t>Same family/root-cause pattern as B.2 at a less severe level — flagged here only because it sits in the amber-to-red boundary the HTML tool itself defines (&lt;6%).</w:t>
      </w:r>
    </w:p>
    <w:p>
      <w:pPr>
        <w:pStyle w:val="Heading2"/>
      </w:pPr>
      <w:r>
        <w:t>B.5 — Brand-level pattern</w:t>
      </w:r>
    </w:p>
    <w:p>
      <w:r>
        <w:rPr>
          <w:b w:val="0"/>
          <w:i w:val="0"/>
          <w:sz w:val="21"/>
        </w:rPr>
        <w:t>All four flagged SKUs share one trait: RM cost is 24-33% of MRP, versus 16-20% for the well-performing SKUs in the same brands. Because Admin OHS, Marketing OHS, Mfg OHS, Finance Cost, Depreciation, Sales Return and Trade Scheme are ALL computed as a percentage of RM cost in the current logic, any SKU with an above-average RM/MRP ratio is structurally penalised seven times over before it reaches EBITDA. This is not a bug — it is how the business's cost structure actually works — but it is the single most useful diagnostic the engine surfaces: "RM cost as % of MRP" is a leading indicator of which SKUs will be margin-thin, and could be added as a sortable column in the HTML NM Abstract to let the MD spot this before opening each waterfall.</w:t>
      </w:r>
    </w:p>
    <w:p>
      <w:r>
        <w:br w:type="page"/>
      </w:r>
    </w:p>
    <w:p>
      <w:pPr>
        <w:pStyle w:val="Heading1"/>
      </w:pPr>
      <w:r>
        <w:t>Part C — Process &amp; Data Leakages in the Automation Build</w:t>
      </w:r>
    </w:p>
    <w:p>
      <w:pPr>
        <w:pStyle w:val="Heading3"/>
      </w:pPr>
      <w:r>
        <w:t>C.1 — 35 of 54 SKUs have no Ramco item_code</w:t>
      </w:r>
    </w:p>
    <w:p>
      <w:r>
        <w:rPr>
          <w:b/>
        </w:rPr>
        <w:t xml:space="preserve">Current logic: </w:t>
      </w:r>
      <w:r>
        <w:t>sku_master.py: SKU_BY_CODE = {s["item_code"]: s for s in SKUS if s.get("item_code")} — only SKUs with a non-empty item_code (19 of 54, mostly Peps Comfort/Italiano/some Cirrus) can be auto-matched when a Ramco BOM file is uploaded.</w:t>
      </w:r>
    </w:p>
    <w:p>
      <w:r>
        <w:rPr>
          <w:b/>
        </w:rPr>
        <w:t xml:space="preserve">Risk / leakage: </w:t>
      </w:r>
      <w:r>
        <w:rPr>
          <w:color w:val="8B1E1E"/>
        </w:rPr>
        <w:t>The remaining 35 SKUs — including the entire Sanibel sub-brand, most Cirrus variants, and 11 of 12 Accessories — can only be matched by the HTML tool's fuzzy description match (see C.5), or not at all. This directly blocks the stated project goal ("RM cost from Ramco BOM, not manual entry") for about two-thirds of the range.</w:t>
      </w:r>
    </w:p>
    <w:p>
      <w:r>
        <w:rPr>
          <w:b/>
        </w:rPr>
        <w:t xml:space="preserve">Solution: </w:t>
      </w:r>
      <w:r>
        <w:t>Before the Works Manager's Ramco test extract arrives, ask WM/COO to supply the Ramco item code for every SKU in sku_master.py (not just the 3-SKU test extract already planned) — this is a one-time data request, not a code change, and unblocks all future BOM refreshes at once.</w:t>
      </w:r>
    </w:p>
    <w:p/>
    <w:p>
      <w:pPr>
        <w:pStyle w:val="Heading3"/>
      </w:pPr>
      <w:r>
        <w:t>C.2 — RM cost for Sanibel / Ardene series is estimated, not BOM-sourced</w:t>
      </w:r>
    </w:p>
    <w:p>
      <w:r>
        <w:rPr>
          <w:b/>
        </w:rPr>
        <w:t xml:space="preserve">Current logic: </w:t>
      </w:r>
      <w:r>
        <w:t>sku_master.py rm_cost values for the Sanibel sub-family (6 of 16 Peps SKUs) are marked in the Context Summary's Known Issues as "estimated, not from BOM."</w:t>
      </w:r>
    </w:p>
    <w:p>
      <w:r>
        <w:rPr>
          <w:b/>
        </w:rPr>
        <w:t xml:space="preserve">Risk / leakage: </w:t>
      </w:r>
      <w:r>
        <w:rPr>
          <w:color w:val="8B1E1E"/>
        </w:rPr>
        <w:t>Sanibel is also the highest-margin sub-family shown (31.6%-43.0% NM) — if the estimate understates true RM cost, the MD is currently seeing an inflated margin on the very SKUs likely to be used as pricing benchmarks.</w:t>
      </w:r>
    </w:p>
    <w:p>
      <w:r>
        <w:rPr>
          <w:b/>
        </w:rPr>
        <w:t xml:space="preserve">Solution: </w:t>
      </w:r>
      <w:r>
        <w:t>Flag these SKUs visibly in the HTML tool (e.g. an "Estimated RM" badge, same pattern already used for "Ramco BOM" vs "Manual" in the Excel export) so the MD does not treat an estimate with the same confidence as a validated figure.</w:t>
      </w:r>
    </w:p>
    <w:p/>
    <w:p>
      <w:pPr>
        <w:pStyle w:val="Heading3"/>
      </w:pPr>
      <w:r>
        <w:t>C.3 — GST rate is hardcoded inside engine.py, not in config.py</w:t>
      </w:r>
    </w:p>
    <w:p>
      <w:r>
        <w:rPr>
          <w:b/>
        </w:rPr>
        <w:t xml:space="preserve">Current logic: </w:t>
      </w:r>
      <w:r>
        <w:t>engine.py line 54: `gst = 0.18` is a literal inside calculate(), not a FINANCE/COMMERCIAL entry in config.py.</w:t>
      </w:r>
    </w:p>
    <w:p>
      <w:r>
        <w:rPr>
          <w:b/>
        </w:rPr>
        <w:t xml:space="preserve">Risk / leakage: </w:t>
      </w:r>
      <w:r>
        <w:rPr>
          <w:color w:val="8B1E1E"/>
        </w:rPr>
        <w:t>This breaks the COO's own three-layer mandate ("Master Parameters → Calculator → Outputs", config.py as the single source of truth for all rates). If GST changes for any category, or if any Accessories SKU (bed linen / blankets fall under a different HSN than foam mattresses) attracts a different slab, a future editor must know to change engine.py logic rather than a config value — easy to miss, and outside the "Do NOT change without re-validating" checklist entirely because it isn't listed there.</w:t>
      </w:r>
    </w:p>
    <w:p>
      <w:r>
        <w:rPr>
          <w:b/>
        </w:rPr>
        <w:t xml:space="preserve">Solution: </w:t>
      </w:r>
      <w:r>
        <w:t>Move `gst` into FINANCE in config.py (e.g. `"gst_pct": 0.18`) and, if Accessories textile items are confirmed to sit on a different GST slab, add a per-brand or per-SKU override the same way admin_ohs_pct_it already overrides the general admin_ohs_pct.</w:t>
      </w:r>
    </w:p>
    <w:p/>
    <w:p>
      <w:pPr>
        <w:pStyle w:val="Heading3"/>
      </w:pPr>
      <w:r>
        <w:t>C.4 — Two sources of truth: config.py (Python) vs embedded rates in the HTML tool</w:t>
      </w:r>
    </w:p>
    <w:p>
      <w:r>
        <w:rPr>
          <w:b/>
        </w:rPr>
        <w:t xml:space="preserve">Current logic: </w:t>
      </w:r>
      <w:r>
        <w:t>peps_contribution_tool.html embeds its own copy of dealer_margin, dist_margin, scheme %, OHS rates etc. in JavaScript, independent of config.py. There is no shared file the two read from.</w:t>
      </w:r>
    </w:p>
    <w:p>
      <w:r>
        <w:rPr>
          <w:b/>
        </w:rPr>
        <w:t xml:space="preserve">Risk / leakage: </w:t>
      </w:r>
      <w:r>
        <w:rPr>
          <w:color w:val="8B1E1E"/>
        </w:rPr>
        <w:t>Every time Finance returns updated rates, both config.py AND the HTML file must be hand-edited in sync — the Continuation Instructions already schedule this as two separate manual steps. Any future edit that updates one but not the other will make the Python validation and the MD's live tool disagree, with no automated way to detect the drift.</w:t>
      </w:r>
    </w:p>
    <w:p>
      <w:r>
        <w:rPr>
          <w:b/>
        </w:rPr>
        <w:t xml:space="preserve">Solution: </w:t>
      </w:r>
      <w:r>
        <w:t>Short-term (matches current architecture): after every config.py update, regenerate the HTML embedded rates from config.py programmatically (a small export script) rather than hand-editing JS literals. Medium-term: have the HTML tool load a JSON rates file exported by config.py, so there is exactly one place rates are authored.</w:t>
      </w:r>
    </w:p>
    <w:p/>
    <w:p>
      <w:pPr>
        <w:pStyle w:val="Heading3"/>
      </w:pPr>
      <w:r>
        <w:t>C.5 — Ramco parser: column auto-detection is a loose keyword match</w:t>
      </w:r>
    </w:p>
    <w:p>
      <w:r>
        <w:rPr>
          <w:b/>
        </w:rPr>
        <w:t xml:space="preserve">Current logic: </w:t>
      </w:r>
      <w:r>
        <w:t>peps_contribution_tool.html, parseRamcoCSV(): `headers.findIndex(h=&gt;h.includes('item')||h.includes('code')||h.includes('sku'))` for the code column and `h.includes('cost')||h.includes('rm')||h.includes('material')||h.includes('rate')` for the cost column — takes the FIRST header that matches, with no disambiguation.</w:t>
      </w:r>
    </w:p>
    <w:p>
      <w:r>
        <w:rPr>
          <w:b/>
        </w:rPr>
        <w:t xml:space="preserve">Risk / leakage: </w:t>
      </w:r>
      <w:r>
        <w:rPr>
          <w:color w:val="8B1E1E"/>
        </w:rPr>
        <w:t>A real Ramco standard-cost export commonly has several cost-like columns (Standard Cost, Landed Cost, Last Purchase Rate, Average Cost) and description columns containing the word "Item" (e.g. "Item Description") before the actual "Item Code" column. The parser will silently take whichever matching column appears first, with no confirmation shown to the user of which column was actually used.</w:t>
      </w:r>
    </w:p>
    <w:p>
      <w:r>
        <w:rPr>
          <w:b/>
        </w:rPr>
        <w:t xml:space="preserve">Solution: </w:t>
      </w:r>
      <w:r>
        <w:t>When the Works Manager's 2-3 SKU test extract arrives (already a planned task), print the detected column name back to the user in the status message ("Matched RM cost from column: 'Standard Cost'") so a wrong pick is caught immediately, and make the picks configurable if the real file has ambiguous headers.</w:t>
      </w:r>
    </w:p>
    <w:p/>
    <w:p>
      <w:pPr>
        <w:pStyle w:val="Heading3"/>
      </w:pPr>
      <w:r>
        <w:t>C.6 — Ramco parser: naive CSV split() does not handle quoted commas</w:t>
      </w:r>
    </w:p>
    <w:p>
      <w:r>
        <w:rPr>
          <w:b/>
        </w:rPr>
        <w:t xml:space="preserve">Current logic: </w:t>
      </w:r>
      <w:r>
        <w:t>parseRamcoCSV(): `lines[i].split(',')` after only stripping quote characters — does not treat a comma inside a quoted field as part of the field.</w:t>
      </w:r>
    </w:p>
    <w:p>
      <w:r>
        <w:rPr>
          <w:b/>
        </w:rPr>
        <w:t xml:space="preserve">Risk / leakage: </w:t>
      </w:r>
      <w:r>
        <w:rPr>
          <w:color w:val="8B1E1E"/>
        </w:rPr>
        <w:t>Ramco description fields often contain commas (e.g. "Foam, 6 inch, White"). A raw split(',') will shift every column after the comma, silently misaligning item code / cost columns for that row without any error.</w:t>
      </w:r>
    </w:p>
    <w:p>
      <w:r>
        <w:rPr>
          <w:b/>
        </w:rPr>
        <w:t xml:space="preserve">Solution: </w:t>
      </w:r>
      <w:r>
        <w:t>Replace with a minimal CSV-aware split (handle quoted fields), or use the same SheetJS (XLSX.utils.sheet_to_json) path already used for Excel uploads for CSV too, since SheetJS already handles quoting correctly.</w:t>
      </w:r>
    </w:p>
    <w:p/>
    <w:p>
      <w:pPr>
        <w:pStyle w:val="Heading3"/>
      </w:pPr>
      <w:r>
        <w:t>C.7 — SKU count discrepancy: docs say 53, code holds 54</w:t>
      </w:r>
    </w:p>
    <w:p>
      <w:r>
        <w:rPr>
          <w:b/>
        </w:rPr>
        <w:t xml:space="preserve">Current logic: </w:t>
      </w:r>
      <w:r>
        <w:t>sku_master.py currently defines 54 SKU records (16 Peps + 17 Cirrus + 9 Italiano + 12 Accessories); the Context Summary and Continuation Instructions both say "all 53 SKUs."</w:t>
      </w:r>
    </w:p>
    <w:p>
      <w:r>
        <w:rPr>
          <w:b/>
        </w:rPr>
        <w:t xml:space="preserve">Risk / leakage: </w:t>
      </w:r>
      <w:r>
        <w:rPr>
          <w:color w:val="8B1E1E"/>
        </w:rPr>
        <w:t>Minor by itself, but any headcount check against Finance/WM ('does this cover the full range?') will be off by one, and could mask a genuinely missing or duplicated record.</w:t>
      </w:r>
    </w:p>
    <w:p>
      <w:r>
        <w:rPr>
          <w:b/>
        </w:rPr>
        <w:t xml:space="preserve">Solution: </w:t>
      </w:r>
      <w:r>
        <w:t>Recount against the source contribution sheets once and correct the documentation, or confirm one SKU should be removed/merged.</w:t>
      </w:r>
    </w:p>
    <w:p/>
    <w:p>
      <w:pPr>
        <w:pStyle w:val="Heading3"/>
      </w:pPr>
      <w:r>
        <w:t>C.8 — Trade scheme % is frozen against today's RM cost — will go stale after Ramco RM refresh</w:t>
      </w:r>
    </w:p>
    <w:p>
      <w:r>
        <w:rPr>
          <w:b/>
        </w:rPr>
        <w:t xml:space="preserve">Current logic: </w:t>
      </w:r>
      <w:r>
        <w:t>config.py stores scheme_rm_pct as an exact ratio derived from a snapshot (e.g. `0.132431, # exact: 428.045/3232.214`). engine.py deliberately keeps this as a fixed % of RM so MRP what-ifs stay accurate (documented, correct, do not change for that purpose).</w:t>
      </w:r>
    </w:p>
    <w:p>
      <w:r>
        <w:rPr>
          <w:b/>
        </w:rPr>
        <w:t xml:space="preserve">Risk / leakage: </w:t>
      </w:r>
      <w:r>
        <w:rPr>
          <w:color w:val="8B1E1E"/>
        </w:rPr>
        <w:t>This freezing was designed to survive MRP changes, but the project's own next milestone is a Ramco BOM upload that overwrites rm_cost. Once RM cost changes from a BOM refresh, the frozen scheme % no longer represents the real trade-scheme ratio (e.g. 10:1) against the new cost base — nothing in the code or docs currently flags this interaction, and it sits exactly between two already-planned tasks (config update + Ramco upload).</w:t>
      </w:r>
    </w:p>
    <w:p>
      <w:r>
        <w:rPr>
          <w:b/>
        </w:rPr>
        <w:t xml:space="preserve">Solution: </w:t>
      </w:r>
      <w:r>
        <w:t>When RM cost is updated via Ramco BOM (sku_master.py or HTML rm_live), explicitly ask Finance/Works Manager to reconfirm scheme_rm_pct against the new RM base at the same time — add this as an explicit step 4a in the existing task list, not an implicit assumption.</w:t>
      </w:r>
    </w:p>
    <w:p/>
    <w:p>
      <w:pPr>
        <w:pStyle w:val="Heading3"/>
      </w:pPr>
      <w:r>
        <w:t>C.9 — Validation gap: Buy-Out Accessories Sales-Return basis</w:t>
      </w:r>
    </w:p>
    <w:p>
      <w:r>
        <w:rPr>
          <w:b/>
        </w:rPr>
        <w:t xml:space="preserve">Current logic: </w:t>
      </w:r>
      <w:r>
        <w:t>runner.py VALIDATION_TARGETS: Peps Stargaze Pillow FAILS (target 13.02% vs got 14.97%, Δ1.95pp); Memory Moulded Pillow passes only within a widened tolerance (1.0pp vs the 0.2-0.3pp used everywhere else). Both are flagged in the Known Issues as "BO accessories SR basis unresolvable from source."</w:t>
      </w:r>
    </w:p>
    <w:p>
      <w:r>
        <w:rPr>
          <w:b/>
        </w:rPr>
        <w:t xml:space="preserve">Risk / leakage: </w:t>
      </w:r>
      <w:r>
        <w:rPr>
          <w:color w:val="8B1E1E"/>
        </w:rPr>
        <w:t>7 of 12 Accessories SKUs are Buy-Out (BO) type. If the SR basis issue is systemic to BO items (not unique to Stargaze), the other 6 BO SKUs' net margins may carry a similar undetected overstatement — they simply have no source-sheet target to check against, so the current 13/14 pass rate may be hiding more than one wrong number.</w:t>
      </w:r>
    </w:p>
    <w:p>
      <w:r>
        <w:rPr>
          <w:b/>
        </w:rPr>
        <w:t xml:space="preserve">Solution: </w:t>
      </w:r>
      <w:r>
        <w:t>Do not treat 13/14 as "basically done" for Accessories specifically — when Works Manager confirms the BO SR basis, re-check ALL 7 BO SKUs' output against source sheets if any additional source figures exist, not only the two already in VALIDATION_TARGETS.</w:t>
      </w:r>
    </w:p>
    <w:p/>
    <w:p>
      <w:r>
        <w:br w:type="page"/>
      </w:r>
    </w:p>
    <w:p>
      <w:pPr>
        <w:pStyle w:val="Heading1"/>
      </w:pPr>
      <w:r>
        <w:t>Part D — Consolidated Remediation Roadmap</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340"/>
            <w:shd w:val="clear" w:color="auto" w:fill="1F3864"/>
          </w:tcPr>
          <w:p>
            <w:r/>
            <w:r>
              <w:rPr>
                <w:b/>
                <w:color w:val="FFFFFF"/>
                <w:sz w:val="19"/>
              </w:rPr>
              <w:t>#</w:t>
            </w:r>
          </w:p>
        </w:tc>
        <w:tc>
          <w:tcPr>
            <w:tcW w:type="dxa" w:w="3685"/>
            <w:shd w:val="clear" w:color="auto" w:fill="1F3864"/>
          </w:tcPr>
          <w:p>
            <w:r/>
            <w:r>
              <w:rPr>
                <w:b/>
                <w:color w:val="FFFFFF"/>
                <w:sz w:val="19"/>
              </w:rPr>
              <w:t>Action</w:t>
            </w:r>
          </w:p>
        </w:tc>
        <w:tc>
          <w:tcPr>
            <w:tcW w:type="dxa" w:w="1020"/>
            <w:shd w:val="clear" w:color="auto" w:fill="1F3864"/>
          </w:tcPr>
          <w:p>
            <w:r/>
            <w:r>
              <w:rPr>
                <w:b/>
                <w:color w:val="FFFFFF"/>
                <w:sz w:val="19"/>
              </w:rPr>
              <w:t>Ties to</w:t>
            </w:r>
          </w:p>
        </w:tc>
        <w:tc>
          <w:tcPr>
            <w:tcW w:type="dxa" w:w="1474"/>
            <w:shd w:val="clear" w:color="auto" w:fill="1F3864"/>
          </w:tcPr>
          <w:p>
            <w:r/>
            <w:r>
              <w:rPr>
                <w:b/>
                <w:color w:val="FFFFFF"/>
                <w:sz w:val="19"/>
              </w:rPr>
              <w:t>Owner</w:t>
            </w:r>
          </w:p>
        </w:tc>
        <w:tc>
          <w:tcPr>
            <w:tcW w:type="dxa" w:w="1417"/>
            <w:shd w:val="clear" w:color="auto" w:fill="1F3864"/>
          </w:tcPr>
          <w:p>
            <w:r/>
            <w:r>
              <w:rPr>
                <w:b/>
                <w:color w:val="FFFFFF"/>
                <w:sz w:val="19"/>
              </w:rPr>
              <w:t>Priority</w:t>
            </w:r>
          </w:p>
        </w:tc>
      </w:tr>
      <w:tr>
        <w:tc>
          <w:tcPr>
            <w:tcW w:type="dxa" w:w="340"/>
          </w:tcPr>
          <w:p>
            <w:r/>
            <w:r>
              <w:rPr>
                <w:sz w:val="18"/>
              </w:rPr>
              <w:t>1</w:t>
            </w:r>
          </w:p>
        </w:tc>
        <w:tc>
          <w:tcPr>
            <w:tcW w:type="dxa" w:w="3685"/>
          </w:tcPr>
          <w:p>
            <w:r/>
            <w:r>
              <w:rPr>
                <w:sz w:val="18"/>
              </w:rPr>
              <w:t>Get Ramco item codes for all 54 SKUs (not just the 3-SKU test extract)</w:t>
            </w:r>
          </w:p>
        </w:tc>
        <w:tc>
          <w:tcPr>
            <w:tcW w:type="dxa" w:w="1020"/>
          </w:tcPr>
          <w:p>
            <w:r/>
            <w:r>
              <w:rPr>
                <w:sz w:val="18"/>
              </w:rPr>
              <w:t>C.1</w:t>
            </w:r>
          </w:p>
        </w:tc>
        <w:tc>
          <w:tcPr>
            <w:tcW w:type="dxa" w:w="1474"/>
          </w:tcPr>
          <w:p>
            <w:r/>
            <w:r>
              <w:rPr>
                <w:sz w:val="18"/>
              </w:rPr>
              <w:t>Works Manager</w:t>
            </w:r>
          </w:p>
        </w:tc>
        <w:tc>
          <w:tcPr>
            <w:tcW w:type="dxa" w:w="1417"/>
          </w:tcPr>
          <w:p>
            <w:r/>
            <w:r>
              <w:rPr>
                <w:sz w:val="18"/>
              </w:rPr>
              <w:t>High</w:t>
            </w:r>
          </w:p>
        </w:tc>
      </w:tr>
      <w:tr>
        <w:tc>
          <w:tcPr>
            <w:tcW w:type="dxa" w:w="340"/>
          </w:tcPr>
          <w:p>
            <w:r/>
            <w:r>
              <w:rPr>
                <w:sz w:val="18"/>
              </w:rPr>
              <w:t>2</w:t>
            </w:r>
          </w:p>
        </w:tc>
        <w:tc>
          <w:tcPr>
            <w:tcW w:type="dxa" w:w="3685"/>
          </w:tcPr>
          <w:p>
            <w:r/>
            <w:r>
              <w:rPr>
                <w:sz w:val="18"/>
              </w:rPr>
              <w:t>Reconfirm BO Sales-Return basis across all 7 BO Accessories SKUs, not just the 2 validated ones</w:t>
            </w:r>
          </w:p>
        </w:tc>
        <w:tc>
          <w:tcPr>
            <w:tcW w:type="dxa" w:w="1020"/>
          </w:tcPr>
          <w:p>
            <w:r/>
            <w:r>
              <w:rPr>
                <w:sz w:val="18"/>
              </w:rPr>
              <w:t>C.9</w:t>
            </w:r>
          </w:p>
        </w:tc>
        <w:tc>
          <w:tcPr>
            <w:tcW w:type="dxa" w:w="1474"/>
          </w:tcPr>
          <w:p>
            <w:r/>
            <w:r>
              <w:rPr>
                <w:sz w:val="18"/>
              </w:rPr>
              <w:t>Works Manager</w:t>
            </w:r>
          </w:p>
        </w:tc>
        <w:tc>
          <w:tcPr>
            <w:tcW w:type="dxa" w:w="1417"/>
          </w:tcPr>
          <w:p>
            <w:r/>
            <w:r>
              <w:rPr>
                <w:sz w:val="18"/>
              </w:rPr>
              <w:t>High</w:t>
            </w:r>
          </w:p>
        </w:tc>
      </w:tr>
      <w:tr>
        <w:tc>
          <w:tcPr>
            <w:tcW w:type="dxa" w:w="340"/>
          </w:tcPr>
          <w:p>
            <w:r/>
            <w:r>
              <w:rPr>
                <w:sz w:val="18"/>
              </w:rPr>
              <w:t>3</w:t>
            </w:r>
          </w:p>
        </w:tc>
        <w:tc>
          <w:tcPr>
            <w:tcW w:type="dxa" w:w="3685"/>
          </w:tcPr>
          <w:p>
            <w:r/>
            <w:r>
              <w:rPr>
                <w:sz w:val="18"/>
              </w:rPr>
              <w:t>Flag Sanibel/Ardene RM costs as "Estimated" in the HTML tool until Ramco-confirmed</w:t>
            </w:r>
          </w:p>
        </w:tc>
        <w:tc>
          <w:tcPr>
            <w:tcW w:type="dxa" w:w="1020"/>
          </w:tcPr>
          <w:p>
            <w:r/>
            <w:r>
              <w:rPr>
                <w:sz w:val="18"/>
              </w:rPr>
              <w:t>C.2</w:t>
            </w:r>
          </w:p>
        </w:tc>
        <w:tc>
          <w:tcPr>
            <w:tcW w:type="dxa" w:w="1474"/>
          </w:tcPr>
          <w:p>
            <w:r/>
            <w:r>
              <w:rPr>
                <w:sz w:val="18"/>
              </w:rPr>
              <w:t>Developer</w:t>
            </w:r>
          </w:p>
        </w:tc>
        <w:tc>
          <w:tcPr>
            <w:tcW w:type="dxa" w:w="1417"/>
          </w:tcPr>
          <w:p>
            <w:r/>
            <w:r>
              <w:rPr>
                <w:sz w:val="18"/>
              </w:rPr>
              <w:t>High</w:t>
            </w:r>
          </w:p>
        </w:tc>
      </w:tr>
      <w:tr>
        <w:tc>
          <w:tcPr>
            <w:tcW w:type="dxa" w:w="340"/>
          </w:tcPr>
          <w:p>
            <w:r/>
            <w:r>
              <w:rPr>
                <w:sz w:val="18"/>
              </w:rPr>
              <w:t>4</w:t>
            </w:r>
          </w:p>
        </w:tc>
        <w:tc>
          <w:tcPr>
            <w:tcW w:type="dxa" w:w="3685"/>
          </w:tcPr>
          <w:p>
            <w:r/>
            <w:r>
              <w:rPr>
                <w:sz w:val="18"/>
              </w:rPr>
              <w:t>Reprice or review the 4 loss/thin SKUs (Fleece Blanket, Kozybreeze 4"/5", Allura Pillow)</w:t>
            </w:r>
          </w:p>
        </w:tc>
        <w:tc>
          <w:tcPr>
            <w:tcW w:type="dxa" w:w="1020"/>
          </w:tcPr>
          <w:p>
            <w:r/>
            <w:r>
              <w:rPr>
                <w:sz w:val="18"/>
              </w:rPr>
              <w:t>B.1-B.4</w:t>
            </w:r>
          </w:p>
        </w:tc>
        <w:tc>
          <w:tcPr>
            <w:tcW w:type="dxa" w:w="1474"/>
          </w:tcPr>
          <w:p>
            <w:r/>
            <w:r>
              <w:rPr>
                <w:sz w:val="18"/>
              </w:rPr>
              <w:t>MD</w:t>
            </w:r>
          </w:p>
        </w:tc>
        <w:tc>
          <w:tcPr>
            <w:tcW w:type="dxa" w:w="1417"/>
          </w:tcPr>
          <w:p>
            <w:r/>
            <w:r>
              <w:rPr>
                <w:sz w:val="18"/>
              </w:rPr>
              <w:t>High</w:t>
            </w:r>
          </w:p>
        </w:tc>
      </w:tr>
      <w:tr>
        <w:tc>
          <w:tcPr>
            <w:tcW w:type="dxa" w:w="340"/>
          </w:tcPr>
          <w:p>
            <w:r/>
            <w:r>
              <w:rPr>
                <w:sz w:val="18"/>
              </w:rPr>
              <w:t>5</w:t>
            </w:r>
          </w:p>
        </w:tc>
        <w:tc>
          <w:tcPr>
            <w:tcW w:type="dxa" w:w="3685"/>
          </w:tcPr>
          <w:p>
            <w:r/>
            <w:r>
              <w:rPr>
                <w:sz w:val="18"/>
              </w:rPr>
              <w:t>Move gst_pct into config.py FINANCE; verify Accessories textile HSN/GST slab</w:t>
            </w:r>
          </w:p>
        </w:tc>
        <w:tc>
          <w:tcPr>
            <w:tcW w:type="dxa" w:w="1020"/>
          </w:tcPr>
          <w:p>
            <w:r/>
            <w:r>
              <w:rPr>
                <w:sz w:val="18"/>
              </w:rPr>
              <w:t>C.3</w:t>
            </w:r>
          </w:p>
        </w:tc>
        <w:tc>
          <w:tcPr>
            <w:tcW w:type="dxa" w:w="1474"/>
          </w:tcPr>
          <w:p>
            <w:r/>
            <w:r>
              <w:rPr>
                <w:sz w:val="18"/>
              </w:rPr>
              <w:t>Developer / Finance</w:t>
            </w:r>
          </w:p>
        </w:tc>
        <w:tc>
          <w:tcPr>
            <w:tcW w:type="dxa" w:w="1417"/>
          </w:tcPr>
          <w:p>
            <w:r/>
            <w:r>
              <w:rPr>
                <w:sz w:val="18"/>
              </w:rPr>
              <w:t>Medium</w:t>
            </w:r>
          </w:p>
        </w:tc>
      </w:tr>
      <w:tr>
        <w:tc>
          <w:tcPr>
            <w:tcW w:type="dxa" w:w="340"/>
          </w:tcPr>
          <w:p>
            <w:r/>
            <w:r>
              <w:rPr>
                <w:sz w:val="18"/>
              </w:rPr>
              <w:t>6</w:t>
            </w:r>
          </w:p>
        </w:tc>
        <w:tc>
          <w:tcPr>
            <w:tcW w:type="dxa" w:w="3685"/>
          </w:tcPr>
          <w:p>
            <w:r/>
            <w:r>
              <w:rPr>
                <w:sz w:val="18"/>
              </w:rPr>
              <w:t>Add a scripted export from config.py -&gt; HTML rates, instead of two hand-edited copies</w:t>
            </w:r>
          </w:p>
        </w:tc>
        <w:tc>
          <w:tcPr>
            <w:tcW w:type="dxa" w:w="1020"/>
          </w:tcPr>
          <w:p>
            <w:r/>
            <w:r>
              <w:rPr>
                <w:sz w:val="18"/>
              </w:rPr>
              <w:t>C.4</w:t>
            </w:r>
          </w:p>
        </w:tc>
        <w:tc>
          <w:tcPr>
            <w:tcW w:type="dxa" w:w="1474"/>
          </w:tcPr>
          <w:p>
            <w:r/>
            <w:r>
              <w:rPr>
                <w:sz w:val="18"/>
              </w:rPr>
              <w:t>Developer</w:t>
            </w:r>
          </w:p>
        </w:tc>
        <w:tc>
          <w:tcPr>
            <w:tcW w:type="dxa" w:w="1417"/>
          </w:tcPr>
          <w:p>
            <w:r/>
            <w:r>
              <w:rPr>
                <w:sz w:val="18"/>
              </w:rPr>
              <w:t>Medium</w:t>
            </w:r>
          </w:p>
        </w:tc>
      </w:tr>
      <w:tr>
        <w:tc>
          <w:tcPr>
            <w:tcW w:type="dxa" w:w="340"/>
          </w:tcPr>
          <w:p>
            <w:r/>
            <w:r>
              <w:rPr>
                <w:sz w:val="18"/>
              </w:rPr>
              <w:t>7</w:t>
            </w:r>
          </w:p>
        </w:tc>
        <w:tc>
          <w:tcPr>
            <w:tcW w:type="dxa" w:w="3685"/>
          </w:tcPr>
          <w:p>
            <w:r/>
            <w:r>
              <w:rPr>
                <w:sz w:val="18"/>
              </w:rPr>
              <w:t>Ramco parser: show detected column name; handle quoted-CSV commas</w:t>
            </w:r>
          </w:p>
        </w:tc>
        <w:tc>
          <w:tcPr>
            <w:tcW w:type="dxa" w:w="1020"/>
          </w:tcPr>
          <w:p>
            <w:r/>
            <w:r>
              <w:rPr>
                <w:sz w:val="18"/>
              </w:rPr>
              <w:t>C.5, C.6</w:t>
            </w:r>
          </w:p>
        </w:tc>
        <w:tc>
          <w:tcPr>
            <w:tcW w:type="dxa" w:w="1474"/>
          </w:tcPr>
          <w:p>
            <w:r/>
            <w:r>
              <w:rPr>
                <w:sz w:val="18"/>
              </w:rPr>
              <w:t>Developer</w:t>
            </w:r>
          </w:p>
        </w:tc>
        <w:tc>
          <w:tcPr>
            <w:tcW w:type="dxa" w:w="1417"/>
          </w:tcPr>
          <w:p>
            <w:r/>
            <w:r>
              <w:rPr>
                <w:sz w:val="18"/>
              </w:rPr>
              <w:t>Medium (before real Ramco file lands)</w:t>
            </w:r>
          </w:p>
        </w:tc>
      </w:tr>
      <w:tr>
        <w:tc>
          <w:tcPr>
            <w:tcW w:type="dxa" w:w="340"/>
          </w:tcPr>
          <w:p>
            <w:r/>
            <w:r>
              <w:rPr>
                <w:sz w:val="18"/>
              </w:rPr>
              <w:t>8</w:t>
            </w:r>
          </w:p>
        </w:tc>
        <w:tc>
          <w:tcPr>
            <w:tcW w:type="dxa" w:w="3685"/>
          </w:tcPr>
          <w:p>
            <w:r/>
            <w:r>
              <w:rPr>
                <w:sz w:val="18"/>
              </w:rPr>
              <w:t>Reconcile SKU count (53 vs 54) in docs</w:t>
            </w:r>
          </w:p>
        </w:tc>
        <w:tc>
          <w:tcPr>
            <w:tcW w:type="dxa" w:w="1020"/>
          </w:tcPr>
          <w:p>
            <w:r/>
            <w:r>
              <w:rPr>
                <w:sz w:val="18"/>
              </w:rPr>
              <w:t>C.7</w:t>
            </w:r>
          </w:p>
        </w:tc>
        <w:tc>
          <w:tcPr>
            <w:tcW w:type="dxa" w:w="1474"/>
          </w:tcPr>
          <w:p>
            <w:r/>
            <w:r>
              <w:rPr>
                <w:sz w:val="18"/>
              </w:rPr>
              <w:t>Developer</w:t>
            </w:r>
          </w:p>
        </w:tc>
        <w:tc>
          <w:tcPr>
            <w:tcW w:type="dxa" w:w="1417"/>
          </w:tcPr>
          <w:p>
            <w:r/>
            <w:r>
              <w:rPr>
                <w:sz w:val="18"/>
              </w:rPr>
              <w:t>Low</w:t>
            </w:r>
          </w:p>
        </w:tc>
      </w:tr>
      <w:tr>
        <w:tc>
          <w:tcPr>
            <w:tcW w:type="dxa" w:w="340"/>
          </w:tcPr>
          <w:p>
            <w:r/>
            <w:r>
              <w:rPr>
                <w:sz w:val="18"/>
              </w:rPr>
              <w:t>9</w:t>
            </w:r>
          </w:p>
        </w:tc>
        <w:tc>
          <w:tcPr>
            <w:tcW w:type="dxa" w:w="3685"/>
          </w:tcPr>
          <w:p>
            <w:r/>
            <w:r>
              <w:rPr>
                <w:sz w:val="18"/>
              </w:rPr>
              <w:t>Add explicit "reconfirm scheme %" step whenever RM is refreshed from Ramco</w:t>
            </w:r>
          </w:p>
        </w:tc>
        <w:tc>
          <w:tcPr>
            <w:tcW w:type="dxa" w:w="1020"/>
          </w:tcPr>
          <w:p>
            <w:r/>
            <w:r>
              <w:rPr>
                <w:sz w:val="18"/>
              </w:rPr>
              <w:t>C.8</w:t>
            </w:r>
          </w:p>
        </w:tc>
        <w:tc>
          <w:tcPr>
            <w:tcW w:type="dxa" w:w="1474"/>
          </w:tcPr>
          <w:p>
            <w:r/>
            <w:r>
              <w:rPr>
                <w:sz w:val="18"/>
              </w:rPr>
              <w:t>Developer / Finance</w:t>
            </w:r>
          </w:p>
        </w:tc>
        <w:tc>
          <w:tcPr>
            <w:tcW w:type="dxa" w:w="1417"/>
          </w:tcPr>
          <w:p>
            <w:r/>
            <w:r>
              <w:rPr>
                <w:sz w:val="18"/>
              </w:rPr>
              <w:t>Medium</w:t>
            </w:r>
          </w:p>
        </w:tc>
      </w:tr>
      <w:tr>
        <w:tc>
          <w:tcPr>
            <w:tcW w:type="dxa" w:w="340"/>
          </w:tcPr>
          <w:p>
            <w:r/>
            <w:r>
              <w:rPr>
                <w:sz w:val="18"/>
              </w:rPr>
              <w:t>10</w:t>
            </w:r>
          </w:p>
        </w:tc>
        <w:tc>
          <w:tcPr>
            <w:tcW w:type="dxa" w:w="3685"/>
          </w:tcPr>
          <w:p>
            <w:r/>
            <w:r>
              <w:rPr>
                <w:sz w:val="18"/>
              </w:rPr>
              <w:t>Add "RM cost as % of MRP" as a sortable diagnostic column in HTML NM Abstract</w:t>
            </w:r>
          </w:p>
        </w:tc>
        <w:tc>
          <w:tcPr>
            <w:tcW w:type="dxa" w:w="1020"/>
          </w:tcPr>
          <w:p>
            <w:r/>
            <w:r>
              <w:rPr>
                <w:sz w:val="18"/>
              </w:rPr>
              <w:t>B.5</w:t>
            </w:r>
          </w:p>
        </w:tc>
        <w:tc>
          <w:tcPr>
            <w:tcW w:type="dxa" w:w="1474"/>
          </w:tcPr>
          <w:p>
            <w:r/>
            <w:r>
              <w:rPr>
                <w:sz w:val="18"/>
              </w:rPr>
              <w:t>Developer</w:t>
            </w:r>
          </w:p>
        </w:tc>
        <w:tc>
          <w:tcPr>
            <w:tcW w:type="dxa" w:w="1417"/>
          </w:tcPr>
          <w:p>
            <w:r/>
            <w:r>
              <w:rPr>
                <w:sz w:val="18"/>
              </w:rPr>
              <w:t>Low</w:t>
            </w:r>
          </w:p>
        </w:tc>
      </w:tr>
    </w:tbl>
    <w:p/>
    <w:p>
      <w:r>
        <w:rPr>
          <w:b w:val="0"/>
          <w:i w:val="0"/>
          <w:sz w:val="21"/>
        </w:rPr>
        <w:t>Items 1, 2 and 4 are business decisions for the Works Manager / MD and should be raised alongside the pending input-sheet and Ramco test-extract items already in flight. Items 5-9 are code-level fixes that fit naturally into the next build cycle (steps 1-4 of the existing Continuation Instructions) and do not require re-deriving any of the already-validated formula bases.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