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Peps Contribution Tool</w:t>
      </w:r>
    </w:p>
    <w:p>
      <w:pPr>
        <w:jc w:val="center"/>
      </w:pPr>
      <w:r>
        <w:rPr>
          <w:b/>
          <w:i w:val="0"/>
          <w:sz w:val="30"/>
        </w:rPr>
        <w:t>Tool Overview, Current Feature Set &amp; Future Enhancement Roadmap</w:t>
      </w:r>
    </w:p>
    <w:p>
      <w:pPr>
        <w:jc w:val="center"/>
      </w:pPr>
      <w:r>
        <w:rPr>
          <w:b w:val="0"/>
          <w:i/>
          <w:sz w:val="20"/>
        </w:rPr>
        <w:t>File: peps_contribution_tool.html  |  Single-file browser tool for the MD</w:t>
      </w:r>
    </w:p>
    <w:p>
      <w:pPr>
        <w:jc w:val="center"/>
      </w:pPr>
      <w:r>
        <w:rPr>
          <w:b w:val="0"/>
          <w:i/>
          <w:sz w:val="20"/>
        </w:rPr>
        <w:t>Prepared: 07-Jul-2026</w:t>
      </w:r>
    </w:p>
    <w:p/>
    <w:p>
      <w:r>
        <w:rPr>
          <w:b w:val="0"/>
          <w:i w:val="0"/>
          <w:sz w:val="21"/>
        </w:rPr>
        <w:t>This document describes exactly what the current build of peps_contribution_tool.html does today (read directly from the shipped file, not from memory of the spec), what it does not yet do, and a prioritized set of future enhancements. It is a companion to Peps_Contribution_Leakage_Analysis.docx, which covers the margin/process leakages in the wider project; this document is scoped to the HTML tool itself.</w:t>
      </w:r>
    </w:p>
    <w:p>
      <w:r>
        <w:br w:type="page"/>
      </w:r>
    </w:p>
    <w:p>
      <w:pPr>
        <w:pStyle w:val="Heading1"/>
      </w:pPr>
      <w:r>
        <w:t>1. What the Tool Is</w:t>
      </w:r>
    </w:p>
    <w:p>
      <w:r>
        <w:rPr>
          <w:b w:val="0"/>
          <w:i w:val="0"/>
          <w:sz w:val="21"/>
        </w:rPr>
        <w:t>A single self-contained HTML file (peps_contribution_tool.html) that lets the MD open it directly in a browser (Chrome/Edge) with no server, no install, and no Python — and see the full MRP-to-net-margin P&amp;L waterfall for all 54 SKUs across Peps Spring, Cirrus Foam, Italiano and Accessories, recalculated live in the browser the instant an MRP or a commercial rate is changed.</w:t>
      </w:r>
    </w:p>
    <w:p>
      <w:pPr>
        <w:pStyle w:val="Heading2"/>
      </w:pPr>
      <w:r>
        <w:t>1.1 — Architecture</w:t>
      </w:r>
    </w:p>
    <w:tbl>
      <w:tblPr>
        <w:tblStyle w:val="TableGrid"/>
        <w:tblW w:type="auto" w:w="0"/>
        <w:jc w:val="center"/>
        <w:tblLayout w:type="fixed"/>
        <w:tblLook w:firstColumn="1" w:firstRow="1" w:lastColumn="0" w:lastRow="0" w:noHBand="0" w:noVBand="1" w:val="04A0"/>
      </w:tblPr>
      <w:tblGrid>
        <w:gridCol w:w="4320"/>
        <w:gridCol w:w="4320"/>
      </w:tblGrid>
      <w:tr>
        <w:tc>
          <w:tcPr>
            <w:tcW w:type="dxa" w:w="1984"/>
            <w:shd w:val="clear" w:color="auto" w:fill="1F3864"/>
          </w:tcPr>
          <w:p>
            <w:r/>
            <w:r>
              <w:rPr>
                <w:b/>
                <w:color w:val="FFFFFF"/>
                <w:sz w:val="19"/>
              </w:rPr>
              <w:t>Layer</w:t>
            </w:r>
          </w:p>
        </w:tc>
        <w:tc>
          <w:tcPr>
            <w:tcW w:type="dxa" w:w="6520"/>
            <w:shd w:val="clear" w:color="auto" w:fill="1F3864"/>
          </w:tcPr>
          <w:p>
            <w:r/>
            <w:r>
              <w:rPr>
                <w:b/>
                <w:color w:val="FFFFFF"/>
                <w:sz w:val="19"/>
              </w:rPr>
              <w:t>Implementation</w:t>
            </w:r>
          </w:p>
        </w:tc>
      </w:tr>
      <w:tr>
        <w:tc>
          <w:tcPr>
            <w:tcW w:type="dxa" w:w="1984"/>
          </w:tcPr>
          <w:p>
            <w:r/>
            <w:r>
              <w:rPr>
                <w:sz w:val="18"/>
              </w:rPr>
              <w:t>UI</w:t>
            </w:r>
          </w:p>
        </w:tc>
        <w:tc>
          <w:tcPr>
            <w:tcW w:type="dxa" w:w="6520"/>
          </w:tcPr>
          <w:p>
            <w:r/>
            <w:r>
              <w:rPr>
                <w:sz w:val="18"/>
              </w:rPr>
              <w:t>Plain HTML/CSS, no framework — sidebar navigation + two pages + a modal overlay</w:t>
            </w:r>
          </w:p>
        </w:tc>
      </w:tr>
      <w:tr>
        <w:tc>
          <w:tcPr>
            <w:tcW w:type="dxa" w:w="1984"/>
          </w:tcPr>
          <w:p>
            <w:r/>
            <w:r>
              <w:rPr>
                <w:sz w:val="18"/>
              </w:rPr>
              <w:t>Calculation engine</w:t>
            </w:r>
          </w:p>
        </w:tc>
        <w:tc>
          <w:tcPr>
            <w:tcW w:type="dxa" w:w="6520"/>
          </w:tcPr>
          <w:p>
            <w:r/>
            <w:r>
              <w:rPr>
                <w:sz w:val="18"/>
              </w:rPr>
              <w:t>calcSKU() in embedded &lt;script&gt; — a hand-ported JS mirror of engine.py's calculate()</w:t>
            </w:r>
          </w:p>
        </w:tc>
      </w:tr>
      <w:tr>
        <w:tc>
          <w:tcPr>
            <w:tcW w:type="dxa" w:w="1984"/>
          </w:tcPr>
          <w:p>
            <w:r/>
            <w:r>
              <w:rPr>
                <w:sz w:val="18"/>
              </w:rPr>
              <w:t>Data</w:t>
            </w:r>
          </w:p>
        </w:tc>
        <w:tc>
          <w:tcPr>
            <w:tcW w:type="dxa" w:w="6520"/>
          </w:tcPr>
          <w:p>
            <w:r/>
            <w:r>
              <w:rPr>
                <w:sz w:val="18"/>
              </w:rPr>
              <w:t>SKUS_RAW array + COMM/FINANCE objects, embedded as JS literals in the file itself</w:t>
            </w:r>
          </w:p>
        </w:tc>
      </w:tr>
      <w:tr>
        <w:tc>
          <w:tcPr>
            <w:tcW w:type="dxa" w:w="1984"/>
          </w:tcPr>
          <w:p>
            <w:r/>
            <w:r>
              <w:rPr>
                <w:sz w:val="18"/>
              </w:rPr>
              <w:t>Excel read/write</w:t>
            </w:r>
          </w:p>
        </w:tc>
        <w:tc>
          <w:tcPr>
            <w:tcW w:type="dxa" w:w="6520"/>
          </w:tcPr>
          <w:p>
            <w:r/>
            <w:r>
              <w:rPr>
                <w:sz w:val="18"/>
              </w:rPr>
              <w:t>SheetJS (xlsx.full.min.js), loaded from cdnjs.cloudflare.com at page load</w:t>
            </w:r>
          </w:p>
        </w:tc>
      </w:tr>
      <w:tr>
        <w:tc>
          <w:tcPr>
            <w:tcW w:type="dxa" w:w="1984"/>
          </w:tcPr>
          <w:p>
            <w:r/>
            <w:r>
              <w:rPr>
                <w:sz w:val="18"/>
              </w:rPr>
              <w:t>Persistence</w:t>
            </w:r>
          </w:p>
        </w:tc>
        <w:tc>
          <w:tcPr>
            <w:tcW w:type="dxa" w:w="6520"/>
          </w:tcPr>
          <w:p>
            <w:r/>
            <w:r>
              <w:rPr>
                <w:sz w:val="18"/>
              </w:rPr>
              <w:t>None — all edits (skus, COMM) live only in page memory (JS variables)</w:t>
            </w:r>
          </w:p>
        </w:tc>
      </w:tr>
    </w:tbl>
    <w:p/>
    <w:p>
      <w:r>
        <w:rPr>
          <w:b w:val="0"/>
          <w:i w:val="0"/>
          <w:sz w:val="21"/>
        </w:rPr>
        <w:t>Because the calculation logic is a manual JS port of engine.py rather than a shared module, every future formula change to the Python engine must be re-applied by hand in the HTML file's calcSKU() function — this is tracked as a known process risk in the Leakage Analysis document (§C.4) and is not repeated in detail here.</w:t>
      </w:r>
    </w:p>
    <w:p>
      <w:r>
        <w:br w:type="page"/>
      </w:r>
    </w:p>
    <w:p>
      <w:pPr>
        <w:pStyle w:val="Heading1"/>
      </w:pPr>
      <w:r>
        <w:t>2. Current Feature Set (as shipped)</w:t>
      </w:r>
    </w:p>
    <w:p>
      <w:pPr>
        <w:pStyle w:val="Heading2"/>
      </w:pPr>
      <w:r>
        <w:t>2.1 — Top bar</w:t>
      </w:r>
    </w:p>
    <w:p>
      <w:pPr>
        <w:pStyle w:val="ListBullet"/>
      </w:pPr>
      <w:r>
        <w:t>Rate badge ("Rates: Current") — static label, does not yet reflect whether rates have actually been edited</w:t>
      </w:r>
    </w:p>
    <w:p>
      <w:pPr>
        <w:pStyle w:val="ListBullet"/>
      </w:pPr>
      <w:r>
        <w:t>Reset All — reverts every SKU's MRP/RM and every commercial rate back to the original embedded baseline</w:t>
      </w:r>
    </w:p>
    <w:p>
      <w:pPr>
        <w:pStyle w:val="ListBullet"/>
      </w:pPr>
      <w:r>
        <w:t>Export Excel — downloads a 3-sheet workbook (see §2.5)</w:t>
      </w:r>
    </w:p>
    <w:p>
      <w:pPr>
        <w:pStyle w:val="Heading2"/>
      </w:pPr>
      <w:r>
        <w:t>2.2 — Sidebar navigation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587"/>
            <w:shd w:val="clear" w:color="auto" w:fill="1F3864"/>
          </w:tcPr>
          <w:p>
            <w:r/>
            <w:r>
              <w:rPr>
                <w:b/>
                <w:color w:val="FFFFFF"/>
                <w:sz w:val="19"/>
              </w:rPr>
              <w:t>Section</w:t>
            </w:r>
          </w:p>
        </w:tc>
        <w:tc>
          <w:tcPr>
            <w:tcW w:type="dxa" w:w="3118"/>
            <w:shd w:val="clear" w:color="auto" w:fill="1F3864"/>
          </w:tcPr>
          <w:p>
            <w:r/>
            <w:r>
              <w:rPr>
                <w:b/>
                <w:color w:val="FFFFFF"/>
                <w:sz w:val="19"/>
              </w:rPr>
              <w:t>Options</w:t>
            </w:r>
          </w:p>
        </w:tc>
        <w:tc>
          <w:tcPr>
            <w:tcW w:type="dxa" w:w="3798"/>
            <w:shd w:val="clear" w:color="auto" w:fill="1F3864"/>
          </w:tcPr>
          <w:p>
            <w:r/>
            <w:r>
              <w:rPr>
                <w:b/>
                <w:color w:val="FFFFFF"/>
                <w:sz w:val="19"/>
              </w:rPr>
              <w:t>Behaviour</w:t>
            </w:r>
          </w:p>
        </w:tc>
      </w:tr>
      <w:tr>
        <w:tc>
          <w:tcPr>
            <w:tcW w:type="dxa" w:w="1587"/>
          </w:tcPr>
          <w:p>
            <w:r/>
            <w:r>
              <w:rPr>
                <w:sz w:val="18"/>
              </w:rPr>
              <w:t>Views</w:t>
            </w:r>
          </w:p>
        </w:tc>
        <w:tc>
          <w:tcPr>
            <w:tcW w:type="dxa" w:w="3118"/>
          </w:tcPr>
          <w:p>
            <w:r/>
            <w:r>
              <w:rPr>
                <w:sz w:val="18"/>
              </w:rPr>
              <w:t>NM Abstract, Commercial Rates</w:t>
            </w:r>
          </w:p>
        </w:tc>
        <w:tc>
          <w:tcPr>
            <w:tcW w:type="dxa" w:w="3798"/>
          </w:tcPr>
          <w:p>
            <w:r/>
            <w:r>
              <w:rPr>
                <w:sz w:val="18"/>
              </w:rPr>
              <w:t>Switches the two main pages</w:t>
            </w:r>
          </w:p>
        </w:tc>
      </w:tr>
      <w:tr>
        <w:tc>
          <w:tcPr>
            <w:tcW w:type="dxa" w:w="1587"/>
          </w:tcPr>
          <w:p>
            <w:r/>
            <w:r>
              <w:rPr>
                <w:sz w:val="18"/>
              </w:rPr>
              <w:t>Brands</w:t>
            </w:r>
          </w:p>
        </w:tc>
        <w:tc>
          <w:tcPr>
            <w:tcW w:type="dxa" w:w="3118"/>
          </w:tcPr>
          <w:p>
            <w:r/>
            <w:r>
              <w:rPr>
                <w:sz w:val="18"/>
              </w:rPr>
              <w:t>All / Peps Spring / Cirrus Foam / Italiano / Accessories</w:t>
            </w:r>
          </w:p>
        </w:tc>
        <w:tc>
          <w:tcPr>
            <w:tcW w:type="dxa" w:w="3798"/>
          </w:tcPr>
          <w:p>
            <w:r/>
            <w:r>
              <w:rPr>
                <w:sz w:val="18"/>
              </w:rPr>
              <w:t>Filters the NM Abstract table by brand</w:t>
            </w:r>
          </w:p>
        </w:tc>
      </w:tr>
      <w:tr>
        <w:tc>
          <w:tcPr>
            <w:tcW w:type="dxa" w:w="1587"/>
          </w:tcPr>
          <w:p>
            <w:r/>
            <w:r>
              <w:rPr>
                <w:sz w:val="18"/>
              </w:rPr>
              <w:t>Filters</w:t>
            </w:r>
          </w:p>
        </w:tc>
        <w:tc>
          <w:tcPr>
            <w:tcW w:type="dxa" w:w="3118"/>
          </w:tcPr>
          <w:p>
            <w:r/>
            <w:r>
              <w:rPr>
                <w:sz w:val="18"/>
              </w:rPr>
              <w:t>NM below 6%, MRP changed, Show all</w:t>
            </w:r>
          </w:p>
        </w:tc>
        <w:tc>
          <w:tcPr>
            <w:tcW w:type="dxa" w:w="3798"/>
          </w:tcPr>
          <w:p>
            <w:r/>
            <w:r>
              <w:rPr>
                <w:sz w:val="18"/>
              </w:rPr>
              <w:t>Filters the NM Abstract table by margin flag or edit state</w:t>
            </w:r>
          </w:p>
        </w:tc>
      </w:tr>
      <w:tr>
        <w:tc>
          <w:tcPr>
            <w:tcW w:type="dxa" w:w="1587"/>
          </w:tcPr>
          <w:p>
            <w:r/>
            <w:r>
              <w:rPr>
                <w:sz w:val="18"/>
              </w:rPr>
              <w:t>Ramco BOM</w:t>
            </w:r>
          </w:p>
        </w:tc>
        <w:tc>
          <w:tcPr>
            <w:tcW w:type="dxa" w:w="3118"/>
          </w:tcPr>
          <w:p>
            <w:r/>
            <w:r>
              <w:rPr>
                <w:sz w:val="18"/>
              </w:rPr>
              <w:t>File upload (CSV/XLSX)</w:t>
            </w:r>
          </w:p>
        </w:tc>
        <w:tc>
          <w:tcPr>
            <w:tcW w:type="dxa" w:w="3798"/>
          </w:tcPr>
          <w:p>
            <w:r/>
            <w:r>
              <w:rPr>
                <w:sz w:val="18"/>
              </w:rPr>
              <w:t>Uploads a BOM extract to auto-refresh RM costs (see §2.6)</w:t>
            </w:r>
          </w:p>
        </w:tc>
      </w:tr>
    </w:tbl>
    <w:p/>
    <w:p>
      <w:pPr>
        <w:pStyle w:val="Heading2"/>
      </w:pPr>
      <w:r>
        <w:t>2.3 — NM Abstract page (default view)</w:t>
      </w:r>
    </w:p>
    <w:p>
      <w:pPr>
        <w:pStyle w:val="ListBullet"/>
      </w:pPr>
      <w:r>
        <w:t>4 summary cards — one per brand — showing average NM% and count of SKUs below the 6% threshold</w:t>
      </w:r>
    </w:p>
    <w:p>
      <w:pPr>
        <w:pStyle w:val="ListBullet"/>
      </w:pPr>
      <w:r>
        <w:t>Main table, grouped by brand, one row per SKU: Product, MRP (editable), Net Billing Rate, RM Cost (with a "Ramco"/"Manual" source badge), Net Sales, EBITDA, Net Margin, NM% (colour pill: green ≥12%, amber 6–12%, red &lt;6%), NM per sq.ft, and a "vs Base" delta column (pp change since the last reset/reload)</w:t>
      </w:r>
    </w:p>
    <w:p>
      <w:pPr>
        <w:pStyle w:val="ListBullet"/>
      </w:pPr>
      <w:r>
        <w:t>Editing the MRP field recalculates that SKU's entire row instantly and highlights the changed cell in amber</w:t>
      </w:r>
    </w:p>
    <w:p>
      <w:pPr>
        <w:pStyle w:val="ListBullet"/>
      </w:pPr>
      <w:r>
        <w:t>Clicking anywhere else on a row opens the full waterfall modal for that SKU (see §2.4)</w:t>
      </w:r>
    </w:p>
    <w:p>
      <w:pPr>
        <w:pStyle w:val="Heading2"/>
      </w:pPr>
      <w:r>
        <w:t>2.4 — Full P&amp;L Waterfall (modal)</w:t>
      </w:r>
    </w:p>
    <w:p>
      <w:r>
        <w:rPr>
          <w:b w:val="0"/>
          <w:i w:val="0"/>
          <w:sz w:val="21"/>
        </w:rPr>
        <w:t>Triggered by clicking a table row. Shows the complete bridge from MRP to Net Margin in four labelled sections, colour-coded green (positive) / red (negative):</w:t>
      </w:r>
    </w:p>
    <w:tbl>
      <w:tblPr>
        <w:tblStyle w:val="TableGrid"/>
        <w:tblW w:type="auto" w:w="0"/>
        <w:jc w:val="center"/>
        <w:tblLayout w:type="fixed"/>
        <w:tblLook w:firstColumn="1" w:firstRow="1" w:lastColumn="0" w:lastRow="0" w:noHBand="0" w:noVBand="1" w:val="04A0"/>
      </w:tblPr>
      <w:tblGrid>
        <w:gridCol w:w="4320"/>
        <w:gridCol w:w="4320"/>
      </w:tblGrid>
      <w:tr>
        <w:tc>
          <w:tcPr>
            <w:tcW w:type="dxa" w:w="1701"/>
            <w:shd w:val="clear" w:color="auto" w:fill="1F3864"/>
          </w:tcPr>
          <w:p>
            <w:r/>
            <w:r>
              <w:rPr>
                <w:b/>
                <w:color w:val="FFFFFF"/>
                <w:sz w:val="19"/>
              </w:rPr>
              <w:t>Section</w:t>
            </w:r>
          </w:p>
        </w:tc>
        <w:tc>
          <w:tcPr>
            <w:tcW w:type="dxa" w:w="6803"/>
            <w:shd w:val="clear" w:color="auto" w:fill="1F3864"/>
          </w:tcPr>
          <w:p>
            <w:r/>
            <w:r>
              <w:rPr>
                <w:b/>
                <w:color w:val="FFFFFF"/>
                <w:sz w:val="19"/>
              </w:rPr>
              <w:t>Lines shown</w:t>
            </w:r>
          </w:p>
        </w:tc>
      </w:tr>
      <w:tr>
        <w:tc>
          <w:tcPr>
            <w:tcW w:type="dxa" w:w="1701"/>
          </w:tcPr>
          <w:p>
            <w:r/>
            <w:r>
              <w:rPr>
                <w:sz w:val="18"/>
              </w:rPr>
              <w:t>Revenue</w:t>
            </w:r>
          </w:p>
        </w:tc>
        <w:tc>
          <w:tcPr>
            <w:tcW w:type="dxa" w:w="6803"/>
          </w:tcPr>
          <w:p>
            <w:r/>
            <w:r>
              <w:rPr>
                <w:sz w:val="18"/>
              </w:rPr>
              <w:t>MRP → Dealer margin → Dealer price → Dist. VAT diff → Dist. margin → Dist. price → CGST/SGST → Net Billing Rate</w:t>
            </w:r>
          </w:p>
        </w:tc>
      </w:tr>
      <w:tr>
        <w:tc>
          <w:tcPr>
            <w:tcW w:type="dxa" w:w="1701"/>
          </w:tcPr>
          <w:p>
            <w:r/>
            <w:r>
              <w:rPr>
                <w:sz w:val="18"/>
              </w:rPr>
              <w:t>Deductions</w:t>
            </w:r>
          </w:p>
        </w:tc>
        <w:tc>
          <w:tcPr>
            <w:tcW w:type="dxa" w:w="6803"/>
          </w:tcPr>
          <w:p>
            <w:r/>
            <w:r>
              <w:rPr>
                <w:sz w:val="18"/>
              </w:rPr>
              <w:t>Sales return, CD, DCT, TOD, Scheme → Net Sales</w:t>
            </w:r>
          </w:p>
        </w:tc>
      </w:tr>
      <w:tr>
        <w:tc>
          <w:tcPr>
            <w:tcW w:type="dxa" w:w="1701"/>
          </w:tcPr>
          <w:p>
            <w:r/>
            <w:r>
              <w:rPr>
                <w:sz w:val="18"/>
              </w:rPr>
              <w:t>Costs</w:t>
            </w:r>
          </w:p>
        </w:tc>
        <w:tc>
          <w:tcPr>
            <w:tcW w:type="dxa" w:w="6803"/>
          </w:tcPr>
          <w:p>
            <w:r/>
            <w:r>
              <w:rPr>
                <w:sz w:val="18"/>
              </w:rPr>
              <w:t>Direct labour, RM cost, Consumer scheme, Mfg overhead → Gross Margin → Marketing OHS, Adv &amp; Promo, Freight OHS, Admin OHS → EBITDA</w:t>
            </w:r>
          </w:p>
        </w:tc>
      </w:tr>
      <w:tr>
        <w:tc>
          <w:tcPr>
            <w:tcW w:type="dxa" w:w="1701"/>
          </w:tcPr>
          <w:p>
            <w:r/>
            <w:r>
              <w:rPr>
                <w:sz w:val="18"/>
              </w:rPr>
              <w:t>Below EBITDA</w:t>
            </w:r>
          </w:p>
        </w:tc>
        <w:tc>
          <w:tcPr>
            <w:tcW w:type="dxa" w:w="6803"/>
          </w:tcPr>
          <w:p>
            <w:r/>
            <w:r>
              <w:rPr>
                <w:sz w:val="18"/>
              </w:rPr>
              <w:t>Finance cost, Depreciation → EBT → Direct taxes → Net Margin → Net Margin %</w:t>
            </w:r>
          </w:p>
        </w:tc>
      </w:tr>
    </w:tbl>
    <w:p/>
    <w:p>
      <w:pPr>
        <w:pStyle w:val="Heading2"/>
      </w:pPr>
      <w:r>
        <w:t>2.5 — Commercial Rates page</w:t>
      </w:r>
    </w:p>
    <w:p>
      <w:r>
        <w:rPr>
          <w:b w:val="0"/>
          <w:i w:val="0"/>
          <w:sz w:val="21"/>
        </w:rPr>
        <w:t>Per-brand editable panels for the trade/channel policy only — dealer margin, distributor margin, CD, DCT, TOD, sales return, and trade scheme (% of RM), plus the two Inspree-specific overrides for Cirrus. Edited fields are highlighted in amber until Reset All is used. There is currently no equivalent panel for Finance's overhead rates (Mfg OHS%, Admin OHS, Marketing OHS, Finance cost%, Depreciation%, Tax rate) — those remain fixed JS constants inside the file (see §3.1).</w:t>
      </w:r>
    </w:p>
    <w:p>
      <w:pPr>
        <w:pStyle w:val="Heading2"/>
      </w:pPr>
      <w:r>
        <w:t>2.6 — Ramco BOM upload</w:t>
      </w:r>
    </w:p>
    <w:p>
      <w:r>
        <w:rPr>
          <w:b w:val="0"/>
          <w:i w:val="0"/>
          <w:sz w:val="21"/>
        </w:rPr>
        <w:t>Accepts a CSV or Excel file, auto-detects the item-code and cost columns by keyword match, matches rows to SKUs by exact item code (falling back to a fuzzy description match), and overwrites rm_live for matched SKUs, tagging them with a "Ramco" badge in the table. Unmatched codes are listed (truncated to 3) in a status message. The parser's specific weaknesses (column-detection ambiguity, naive CSV splitting, 8-character fuzzy match) are documented in the Leakage Analysis doc (§C.5–C.6) and are not repeated here.</w:t>
      </w:r>
    </w:p>
    <w:p>
      <w:pPr>
        <w:pStyle w:val="Heading2"/>
      </w:pPr>
      <w:r>
        <w:t>2.7 — Excel export</w:t>
      </w:r>
    </w:p>
    <w:tbl>
      <w:tblPr>
        <w:tblStyle w:val="TableGrid"/>
        <w:tblW w:type="auto" w:w="0"/>
        <w:jc w:val="center"/>
        <w:tblLayout w:type="fixed"/>
        <w:tblLook w:firstColumn="1" w:firstRow="1" w:lastColumn="0" w:lastRow="0" w:noHBand="0" w:noVBand="1" w:val="04A0"/>
      </w:tblPr>
      <w:tblGrid>
        <w:gridCol w:w="4320"/>
        <w:gridCol w:w="4320"/>
      </w:tblGrid>
      <w:tr>
        <w:tc>
          <w:tcPr>
            <w:tcW w:type="dxa" w:w="1984"/>
            <w:shd w:val="clear" w:color="auto" w:fill="1F3864"/>
          </w:tcPr>
          <w:p>
            <w:r/>
            <w:r>
              <w:rPr>
                <w:b/>
                <w:color w:val="FFFFFF"/>
                <w:sz w:val="19"/>
              </w:rPr>
              <w:t>Sheet</w:t>
            </w:r>
          </w:p>
        </w:tc>
        <w:tc>
          <w:tcPr>
            <w:tcW w:type="dxa" w:w="6520"/>
            <w:shd w:val="clear" w:color="auto" w:fill="1F3864"/>
          </w:tcPr>
          <w:p>
            <w:r/>
            <w:r>
              <w:rPr>
                <w:b/>
                <w:color w:val="FFFFFF"/>
                <w:sz w:val="19"/>
              </w:rPr>
              <w:t>Contents</w:t>
            </w:r>
          </w:p>
        </w:tc>
      </w:tr>
      <w:tr>
        <w:tc>
          <w:tcPr>
            <w:tcW w:type="dxa" w:w="1984"/>
          </w:tcPr>
          <w:p>
            <w:r/>
            <w:r>
              <w:rPr>
                <w:sz w:val="18"/>
              </w:rPr>
              <w:t>NM Abstract</w:t>
            </w:r>
          </w:p>
        </w:tc>
        <w:tc>
          <w:tcPr>
            <w:tcW w:type="dxa" w:w="6520"/>
          </w:tcPr>
          <w:p>
            <w:r/>
            <w:r>
              <w:rPr>
                <w:sz w:val="18"/>
              </w:rPr>
              <w:t>Brand, item code, product, MRP, Net Billing, RM, Net Sales, Gross Margin, EBITDA, Net Margin, NM%, NM/sqft, RM source — one row per SKU</w:t>
            </w:r>
          </w:p>
        </w:tc>
      </w:tr>
      <w:tr>
        <w:tc>
          <w:tcPr>
            <w:tcW w:type="dxa" w:w="1984"/>
          </w:tcPr>
          <w:p>
            <w:r/>
            <w:r>
              <w:rPr>
                <w:sz w:val="18"/>
              </w:rPr>
              <w:t>Full Waterfall</w:t>
            </w:r>
          </w:p>
        </w:tc>
        <w:tc>
          <w:tcPr>
            <w:tcW w:type="dxa" w:w="6520"/>
          </w:tcPr>
          <w:p>
            <w:r/>
            <w:r>
              <w:rPr>
                <w:sz w:val="18"/>
              </w:rPr>
              <w:t>Every waterfall line item (33 columns) for every SKU</w:t>
            </w:r>
          </w:p>
        </w:tc>
      </w:tr>
      <w:tr>
        <w:tc>
          <w:tcPr>
            <w:tcW w:type="dxa" w:w="1984"/>
          </w:tcPr>
          <w:p>
            <w:r/>
            <w:r>
              <w:rPr>
                <w:sz w:val="18"/>
              </w:rPr>
              <w:t>Rates Snapshot</w:t>
            </w:r>
          </w:p>
        </w:tc>
        <w:tc>
          <w:tcPr>
            <w:tcW w:type="dxa" w:w="6520"/>
          </w:tcPr>
          <w:p>
            <w:r/>
            <w:r>
              <w:rPr>
                <w:sz w:val="18"/>
              </w:rPr>
              <w:t>A partial listing of commercial rates — see §3.4 for the gap</w:t>
            </w:r>
          </w:p>
        </w:tc>
      </w:tr>
    </w:tbl>
    <w:p/>
    <w:p>
      <w:r>
        <w:br w:type="page"/>
      </w:r>
    </w:p>
    <w:p>
      <w:pPr>
        <w:pStyle w:val="Heading1"/>
      </w:pPr>
      <w:r>
        <w:t>3. Current Limitations (tool-specific)</w:t>
      </w:r>
    </w:p>
    <w:p>
      <w:pPr>
        <w:pStyle w:val="Heading3"/>
      </w:pPr>
      <w:r>
        <w:t>3.1 — No in-app editing of Finance/overhead rates</w:t>
      </w:r>
    </w:p>
    <w:p>
      <w:r>
        <w:rPr>
          <w:b w:val="0"/>
          <w:i w:val="0"/>
          <w:sz w:val="21"/>
        </w:rPr>
        <w:t>Mfg OHS%, Admin OHS, Marketing OHS, Freight default, Finance cost%, Depreciation%, and Tax rate are only changeable by a developer editing the FINANCE constant inside the HTML file's &lt;script&gt; block — there is no UI for this on the Commercial Rates page, even though Finance is named as the owner of overhead rates in the project's own three-layer architecture mandate.</w:t>
      </w:r>
    </w:p>
    <w:p>
      <w:pPr>
        <w:pStyle w:val="Heading3"/>
      </w:pPr>
      <w:r>
        <w:t>3.2 — Tool is not actually fully offline</w:t>
      </w:r>
    </w:p>
    <w:p>
      <w:r>
        <w:rPr>
          <w:b w:val="0"/>
          <w:i w:val="0"/>
          <w:sz w:val="21"/>
        </w:rPr>
        <w:t>The file loads SheetJS (xlsx.full.min.js) from cdnjs.cloudflare.com at page load. If the MD opens the tool on a machine without internet access, the page itself will still render and MRP/rate edits will still work, but Export Excel and any Excel-format (not CSV) Ramco upload will silently fail to run, contradicting the "no install, fully self-contained" description already circulated internally.</w:t>
      </w:r>
    </w:p>
    <w:p>
      <w:pPr>
        <w:pStyle w:val="Heading3"/>
      </w:pPr>
      <w:r>
        <w:t>3.3 — No persistence between sessions</w:t>
      </w:r>
    </w:p>
    <w:p>
      <w:r>
        <w:rPr>
          <w:b w:val="0"/>
          <w:i w:val="0"/>
          <w:sz w:val="21"/>
        </w:rPr>
        <w:t>skus and COMM live only in browser memory as JS variables. Closing the tab, refreshing the page, or the browser crashing discards every MRP edit, rate change, and Ramco upload with no warning and no autosave — the only way to keep a set of edits is to Export Excel before closing.</w:t>
      </w:r>
    </w:p>
    <w:p>
      <w:pPr>
        <w:pStyle w:val="Heading3"/>
      </w:pPr>
      <w:r>
        <w:t>3.4 — Rates Snapshot export sheet is incomplete</w:t>
      </w:r>
    </w:p>
    <w:p>
      <w:r>
        <w:rPr>
          <w:b w:val="0"/>
          <w:i w:val="0"/>
          <w:sz w:val="21"/>
        </w:rPr>
        <w:t>The exported "Rates Snapshot" sheet only lists Peps (7 fields), Cirrus (6 of 9 fields — missing TOD, SR, and the Inspree overrides), and Italiano (3 of 7 fields). Accessories rates are omitted entirely, and no Finance/overhead constants are included at all. A user relying on this sheet as a record of "what rates were used to generate this export" gets an incomplete picture.</w:t>
      </w:r>
    </w:p>
    <w:p>
      <w:pPr>
        <w:pStyle w:val="Heading3"/>
      </w:pPr>
      <w:r>
        <w:t>3.5 — Single channel only</w:t>
      </w:r>
    </w:p>
    <w:p>
      <w:r>
        <w:rPr>
          <w:b w:val="0"/>
          <w:i w:val="0"/>
          <w:sz w:val="21"/>
        </w:rPr>
        <w:t>Every SKU is calculated against exactly one channel policy (South DIS, or South Inspree for the 4 Inspree PU SKUs). config.py / COMMERCIAL already defines additional channels (DD South, DD-A South, Cirrus Mgmt) that are not reachable from the HTML tool at all — there is no channel selector.</w:t>
      </w:r>
    </w:p>
    <w:p>
      <w:pPr>
        <w:pStyle w:val="Heading3"/>
      </w:pPr>
      <w:r>
        <w:t>3.6 — No table sort or search</w:t>
      </w:r>
    </w:p>
    <w:p>
      <w:r>
        <w:rPr>
          <w:b w:val="0"/>
          <w:i w:val="0"/>
          <w:sz w:val="21"/>
        </w:rPr>
        <w:t>With 54 SKUs across 4 brand groups, the NM Abstract table can only be narrowed by the existing brand/NM filters — there is no click-to-sort on any column (e.g., to rank all SKUs by NM% ascending) and no free-text product search.</w:t>
      </w:r>
    </w:p>
    <w:p>
      <w:pPr>
        <w:pStyle w:val="Heading3"/>
      </w:pPr>
      <w:r>
        <w:t>3.7 — No change audit trail</w:t>
      </w:r>
    </w:p>
    <w:p>
      <w:r>
        <w:rPr>
          <w:b w:val="0"/>
          <w:i w:val="0"/>
          <w:sz w:val="21"/>
        </w:rPr>
        <w:t>Neither MRP edits nor commercial-rate edits are logged with a timestamp or user note — the "vs Base" delta column shows the net effect of all changes since the last reset, but not a history of individual edits.</w:t>
      </w:r>
    </w:p>
    <w:p>
      <w:r>
        <w:br w:type="page"/>
      </w:r>
    </w:p>
    <w:p>
      <w:pPr>
        <w:pStyle w:val="Heading1"/>
      </w:pPr>
      <w:r>
        <w:t>4. Future Enhancement Roadmap</w:t>
      </w:r>
    </w:p>
    <w:p>
      <w:pPr>
        <w:pStyle w:val="Heading2"/>
      </w:pPr>
      <w:r>
        <w:t>Priority 1 — Close gaps against the tool's own stated purpose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40"/>
            <w:shd w:val="clear" w:color="auto" w:fill="1F3864"/>
          </w:tcPr>
          <w:p>
            <w:r/>
            <w:r>
              <w:rPr>
                <w:b/>
                <w:color w:val="FFFFFF"/>
                <w:sz w:val="19"/>
              </w:rPr>
              <w:t>#</w:t>
            </w:r>
          </w:p>
        </w:tc>
        <w:tc>
          <w:tcPr>
            <w:tcW w:type="dxa" w:w="4819"/>
            <w:shd w:val="clear" w:color="auto" w:fill="1F3864"/>
          </w:tcPr>
          <w:p>
            <w:r/>
            <w:r>
              <w:rPr>
                <w:b/>
                <w:color w:val="FFFFFF"/>
                <w:sz w:val="19"/>
              </w:rPr>
              <w:t>Enhancement</w:t>
            </w:r>
          </w:p>
        </w:tc>
        <w:tc>
          <w:tcPr>
            <w:tcW w:type="dxa" w:w="3061"/>
            <w:shd w:val="clear" w:color="auto" w:fill="1F3864"/>
          </w:tcPr>
          <w:p>
            <w:r/>
            <w:r>
              <w:rPr>
                <w:b/>
                <w:color w:val="FFFFFF"/>
                <w:sz w:val="19"/>
              </w:rPr>
              <w:t>Why</w:t>
            </w:r>
          </w:p>
        </w:tc>
        <w:tc>
          <w:tcPr>
            <w:tcW w:type="dxa" w:w="850"/>
            <w:shd w:val="clear" w:color="auto" w:fill="1F3864"/>
          </w:tcPr>
          <w:p>
            <w:r/>
            <w:r>
              <w:rPr>
                <w:b/>
                <w:color w:val="FFFFFF"/>
                <w:sz w:val="19"/>
              </w:rPr>
              <w:t>Effort</w:t>
            </w:r>
          </w:p>
        </w:tc>
      </w:tr>
      <w:tr>
        <w:tc>
          <w:tcPr>
            <w:tcW w:type="dxa" w:w="340"/>
          </w:tcPr>
          <w:p>
            <w:r/>
            <w:r>
              <w:rPr>
                <w:sz w:val="18"/>
              </w:rPr>
              <w:t>1</w:t>
            </w:r>
          </w:p>
        </w:tc>
        <w:tc>
          <w:tcPr>
            <w:tcW w:type="dxa" w:w="4819"/>
          </w:tcPr>
          <w:p>
            <w:r/>
            <w:r>
              <w:rPr>
                <w:sz w:val="18"/>
              </w:rPr>
              <w:t>Add a "Master Parameters" panel to edit Finance/overhead rates in-app (Mfg OHS%, Admin/Marketing OHS, Freight, Finance cost%, Depreciation%, Tax rate)</w:t>
            </w:r>
          </w:p>
        </w:tc>
        <w:tc>
          <w:tcPr>
            <w:tcW w:type="dxa" w:w="3061"/>
          </w:tcPr>
          <w:p>
            <w:r/>
            <w:r>
              <w:rPr>
                <w:sz w:val="18"/>
              </w:rPr>
              <w:t>Closes §3.1 — currently these can only be changed by a developer</w:t>
            </w:r>
          </w:p>
        </w:tc>
        <w:tc>
          <w:tcPr>
            <w:tcW w:type="dxa" w:w="850"/>
          </w:tcPr>
          <w:p>
            <w:r/>
            <w:r>
              <w:rPr>
                <w:sz w:val="18"/>
              </w:rPr>
              <w:t>Small–Medium</w:t>
            </w:r>
          </w:p>
        </w:tc>
      </w:tr>
      <w:tr>
        <w:tc>
          <w:tcPr>
            <w:tcW w:type="dxa" w:w="340"/>
          </w:tcPr>
          <w:p>
            <w:r/>
            <w:r>
              <w:rPr>
                <w:sz w:val="18"/>
              </w:rPr>
              <w:t>2</w:t>
            </w:r>
          </w:p>
        </w:tc>
        <w:tc>
          <w:tcPr>
            <w:tcW w:type="dxa" w:w="4819"/>
          </w:tcPr>
          <w:p>
            <w:r/>
            <w:r>
              <w:rPr>
                <w:sz w:val="18"/>
              </w:rPr>
              <w:t>Inline (embed) the SheetJS library instead of loading it from a CDN</w:t>
            </w:r>
          </w:p>
        </w:tc>
        <w:tc>
          <w:tcPr>
            <w:tcW w:type="dxa" w:w="3061"/>
          </w:tcPr>
          <w:p>
            <w:r/>
            <w:r>
              <w:rPr>
                <w:sz w:val="18"/>
              </w:rPr>
              <w:t>Closes §3.2 — makes the tool genuinely work with zero internet access, matching how it is already described internally</w:t>
            </w:r>
          </w:p>
        </w:tc>
        <w:tc>
          <w:tcPr>
            <w:tcW w:type="dxa" w:w="850"/>
          </w:tcPr>
          <w:p>
            <w:r/>
            <w:r>
              <w:rPr>
                <w:sz w:val="18"/>
              </w:rPr>
              <w:t>Small</w:t>
            </w:r>
          </w:p>
        </w:tc>
      </w:tr>
    </w:tbl>
    <w:p/>
    <w:p>
      <w:pPr>
        <w:pStyle w:val="Heading2"/>
      </w:pPr>
      <w:r>
        <w:t>Priority 2 — Coverage and completeness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40"/>
            <w:shd w:val="clear" w:color="auto" w:fill="1F3864"/>
          </w:tcPr>
          <w:p>
            <w:r/>
            <w:r>
              <w:rPr>
                <w:b/>
                <w:color w:val="FFFFFF"/>
                <w:sz w:val="19"/>
              </w:rPr>
              <w:t>#</w:t>
            </w:r>
          </w:p>
        </w:tc>
        <w:tc>
          <w:tcPr>
            <w:tcW w:type="dxa" w:w="4819"/>
            <w:shd w:val="clear" w:color="auto" w:fill="1F3864"/>
          </w:tcPr>
          <w:p>
            <w:r/>
            <w:r>
              <w:rPr>
                <w:b/>
                <w:color w:val="FFFFFF"/>
                <w:sz w:val="19"/>
              </w:rPr>
              <w:t>Enhancement</w:t>
            </w:r>
          </w:p>
        </w:tc>
        <w:tc>
          <w:tcPr>
            <w:tcW w:type="dxa" w:w="3061"/>
            <w:shd w:val="clear" w:color="auto" w:fill="1F3864"/>
          </w:tcPr>
          <w:p>
            <w:r/>
            <w:r>
              <w:rPr>
                <w:b/>
                <w:color w:val="FFFFFF"/>
                <w:sz w:val="19"/>
              </w:rPr>
              <w:t>Why</w:t>
            </w:r>
          </w:p>
        </w:tc>
        <w:tc>
          <w:tcPr>
            <w:tcW w:type="dxa" w:w="850"/>
            <w:shd w:val="clear" w:color="auto" w:fill="1F3864"/>
          </w:tcPr>
          <w:p>
            <w:r/>
            <w:r>
              <w:rPr>
                <w:b/>
                <w:color w:val="FFFFFF"/>
                <w:sz w:val="19"/>
              </w:rPr>
              <w:t>Effort</w:t>
            </w:r>
          </w:p>
        </w:tc>
      </w:tr>
      <w:tr>
        <w:tc>
          <w:tcPr>
            <w:tcW w:type="dxa" w:w="340"/>
          </w:tcPr>
          <w:p>
            <w:r/>
            <w:r>
              <w:rPr>
                <w:sz w:val="18"/>
              </w:rPr>
              <w:t>3</w:t>
            </w:r>
          </w:p>
        </w:tc>
        <w:tc>
          <w:tcPr>
            <w:tcW w:type="dxa" w:w="4819"/>
          </w:tcPr>
          <w:p>
            <w:r/>
            <w:r>
              <w:rPr>
                <w:sz w:val="18"/>
              </w:rPr>
              <w:t>Multi-channel view — a channel selector (DIS South, DD South, DD-A South, Mgmt) reusing the channel policies already defined in config.py/COMMERCIAL</w:t>
            </w:r>
          </w:p>
        </w:tc>
        <w:tc>
          <w:tcPr>
            <w:tcW w:type="dxa" w:w="3061"/>
          </w:tcPr>
          <w:p>
            <w:r/>
            <w:r>
              <w:rPr>
                <w:sz w:val="18"/>
              </w:rPr>
              <w:t>Closes §3.5 — already a named pending item in the Continuation Instructions ("Add multi-channel view once South DIS confirmed")</w:t>
            </w:r>
          </w:p>
        </w:tc>
        <w:tc>
          <w:tcPr>
            <w:tcW w:type="dxa" w:w="850"/>
          </w:tcPr>
          <w:p>
            <w:r/>
            <w:r>
              <w:rPr>
                <w:sz w:val="18"/>
              </w:rPr>
              <w:t>Medium</w:t>
            </w:r>
          </w:p>
        </w:tc>
      </w:tr>
      <w:tr>
        <w:tc>
          <w:tcPr>
            <w:tcW w:type="dxa" w:w="340"/>
          </w:tcPr>
          <w:p>
            <w:r/>
            <w:r>
              <w:rPr>
                <w:sz w:val="18"/>
              </w:rPr>
              <w:t>4</w:t>
            </w:r>
          </w:p>
        </w:tc>
        <w:tc>
          <w:tcPr>
            <w:tcW w:type="dxa" w:w="4819"/>
          </w:tcPr>
          <w:p>
            <w:r/>
            <w:r>
              <w:rPr>
                <w:sz w:val="18"/>
              </w:rPr>
              <w:t>Scenario save/load — export/import a small JSON file of the current MRP + rate edits, so the MD can name and compare scenarios and reopen a session instead of losing edits on refresh</w:t>
            </w:r>
          </w:p>
        </w:tc>
        <w:tc>
          <w:tcPr>
            <w:tcW w:type="dxa" w:w="3061"/>
          </w:tcPr>
          <w:p>
            <w:r/>
            <w:r>
              <w:rPr>
                <w:sz w:val="18"/>
              </w:rPr>
              <w:t>Closes §3.3 without requiring a server or database</w:t>
            </w:r>
          </w:p>
        </w:tc>
        <w:tc>
          <w:tcPr>
            <w:tcW w:type="dxa" w:w="850"/>
          </w:tcPr>
          <w:p>
            <w:r/>
            <w:r>
              <w:rPr>
                <w:sz w:val="18"/>
              </w:rPr>
              <w:t>Medium</w:t>
            </w:r>
          </w:p>
        </w:tc>
      </w:tr>
      <w:tr>
        <w:tc>
          <w:tcPr>
            <w:tcW w:type="dxa" w:w="340"/>
          </w:tcPr>
          <w:p>
            <w:r/>
            <w:r>
              <w:rPr>
                <w:sz w:val="18"/>
              </w:rPr>
              <w:t>5</w:t>
            </w:r>
          </w:p>
        </w:tc>
        <w:tc>
          <w:tcPr>
            <w:tcW w:type="dxa" w:w="4819"/>
          </w:tcPr>
          <w:p>
            <w:r/>
            <w:r>
              <w:rPr>
                <w:sz w:val="18"/>
              </w:rPr>
              <w:t>Complete the Rates Snapshot export sheet to mirror every field on the Commercial Rates page, plus the new Finance/overhead panel from item 1</w:t>
            </w:r>
          </w:p>
        </w:tc>
        <w:tc>
          <w:tcPr>
            <w:tcW w:type="dxa" w:w="3061"/>
          </w:tcPr>
          <w:p>
            <w:r/>
            <w:r>
              <w:rPr>
                <w:sz w:val="18"/>
              </w:rPr>
              <w:t>Closes §3.4</w:t>
            </w:r>
          </w:p>
        </w:tc>
        <w:tc>
          <w:tcPr>
            <w:tcW w:type="dxa" w:w="850"/>
          </w:tcPr>
          <w:p>
            <w:r/>
            <w:r>
              <w:rPr>
                <w:sz w:val="18"/>
              </w:rPr>
              <w:t>Small</w:t>
            </w:r>
          </w:p>
        </w:tc>
      </w:tr>
    </w:tbl>
    <w:p/>
    <w:p>
      <w:pPr>
        <w:pStyle w:val="Heading2"/>
      </w:pPr>
      <w:r>
        <w:t>Priority 3 — Usability at scale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40"/>
            <w:shd w:val="clear" w:color="auto" w:fill="1F3864"/>
          </w:tcPr>
          <w:p>
            <w:r/>
            <w:r>
              <w:rPr>
                <w:b/>
                <w:color w:val="FFFFFF"/>
                <w:sz w:val="19"/>
              </w:rPr>
              <w:t>#</w:t>
            </w:r>
          </w:p>
        </w:tc>
        <w:tc>
          <w:tcPr>
            <w:tcW w:type="dxa" w:w="4819"/>
            <w:shd w:val="clear" w:color="auto" w:fill="1F3864"/>
          </w:tcPr>
          <w:p>
            <w:r/>
            <w:r>
              <w:rPr>
                <w:b/>
                <w:color w:val="FFFFFF"/>
                <w:sz w:val="19"/>
              </w:rPr>
              <w:t>Enhancement</w:t>
            </w:r>
          </w:p>
        </w:tc>
        <w:tc>
          <w:tcPr>
            <w:tcW w:type="dxa" w:w="3061"/>
            <w:shd w:val="clear" w:color="auto" w:fill="1F3864"/>
          </w:tcPr>
          <w:p>
            <w:r/>
            <w:r>
              <w:rPr>
                <w:b/>
                <w:color w:val="FFFFFF"/>
                <w:sz w:val="19"/>
              </w:rPr>
              <w:t>Why</w:t>
            </w:r>
          </w:p>
        </w:tc>
        <w:tc>
          <w:tcPr>
            <w:tcW w:type="dxa" w:w="850"/>
            <w:shd w:val="clear" w:color="auto" w:fill="1F3864"/>
          </w:tcPr>
          <w:p>
            <w:r/>
            <w:r>
              <w:rPr>
                <w:b/>
                <w:color w:val="FFFFFF"/>
                <w:sz w:val="19"/>
              </w:rPr>
              <w:t>Effort</w:t>
            </w:r>
          </w:p>
        </w:tc>
      </w:tr>
      <w:tr>
        <w:tc>
          <w:tcPr>
            <w:tcW w:type="dxa" w:w="340"/>
          </w:tcPr>
          <w:p>
            <w:r/>
            <w:r>
              <w:rPr>
                <w:sz w:val="18"/>
              </w:rPr>
              <w:t>6</w:t>
            </w:r>
          </w:p>
        </w:tc>
        <w:tc>
          <w:tcPr>
            <w:tcW w:type="dxa" w:w="4819"/>
          </w:tcPr>
          <w:p>
            <w:r/>
            <w:r>
              <w:rPr>
                <w:sz w:val="18"/>
              </w:rPr>
              <w:t>Click-to-sort table columns (e.g. rank by NM% ascending) and a free-text product search box</w:t>
            </w:r>
          </w:p>
        </w:tc>
        <w:tc>
          <w:tcPr>
            <w:tcW w:type="dxa" w:w="3061"/>
          </w:tcPr>
          <w:p>
            <w:r/>
            <w:r>
              <w:rPr>
                <w:sz w:val="18"/>
              </w:rPr>
              <w:t>Closes §3.6 — becomes more valuable as the SKU count grows past 54 (e.g. once BOM completion adds more SKUs)</w:t>
            </w:r>
          </w:p>
        </w:tc>
        <w:tc>
          <w:tcPr>
            <w:tcW w:type="dxa" w:w="850"/>
          </w:tcPr>
          <w:p>
            <w:r/>
            <w:r>
              <w:rPr>
                <w:sz w:val="18"/>
              </w:rPr>
              <w:t>Small</w:t>
            </w:r>
          </w:p>
        </w:tc>
      </w:tr>
      <w:tr>
        <w:tc>
          <w:tcPr>
            <w:tcW w:type="dxa" w:w="340"/>
          </w:tcPr>
          <w:p>
            <w:r/>
            <w:r>
              <w:rPr>
                <w:sz w:val="18"/>
              </w:rPr>
              <w:t>7</w:t>
            </w:r>
          </w:p>
        </w:tc>
        <w:tc>
          <w:tcPr>
            <w:tcW w:type="dxa" w:w="4819"/>
          </w:tcPr>
          <w:p>
            <w:r/>
            <w:r>
              <w:rPr>
                <w:sz w:val="18"/>
              </w:rPr>
              <w:t>Lightweight in-session change log (timestamped "MRP changed ₹X → ₹Y", "Rate changed" entries), exportable alongside the Excel output</w:t>
            </w:r>
          </w:p>
        </w:tc>
        <w:tc>
          <w:tcPr>
            <w:tcW w:type="dxa" w:w="3061"/>
          </w:tcPr>
          <w:p>
            <w:r/>
            <w:r>
              <w:rPr>
                <w:sz w:val="18"/>
              </w:rPr>
              <w:t>Closes §3.7 — a basic audit trail without building a real backend</w:t>
            </w:r>
          </w:p>
        </w:tc>
        <w:tc>
          <w:tcPr>
            <w:tcW w:type="dxa" w:w="850"/>
          </w:tcPr>
          <w:p>
            <w:r/>
            <w:r>
              <w:rPr>
                <w:sz w:val="18"/>
              </w:rPr>
              <w:t>Small–Medium</w:t>
            </w:r>
          </w:p>
        </w:tc>
      </w:tr>
      <w:tr>
        <w:tc>
          <w:tcPr>
            <w:tcW w:type="dxa" w:w="340"/>
          </w:tcPr>
          <w:p>
            <w:r/>
            <w:r>
              <w:rPr>
                <w:sz w:val="18"/>
              </w:rPr>
              <w:t>8</w:t>
            </w:r>
          </w:p>
        </w:tc>
        <w:tc>
          <w:tcPr>
            <w:tcW w:type="dxa" w:w="4819"/>
          </w:tcPr>
          <w:p>
            <w:r/>
            <w:r>
              <w:rPr>
                <w:sz w:val="18"/>
              </w:rPr>
              <w:t>Harden the Ramco parser: show which column was auto-detected before applying it, and use proper CSV-quote-aware parsing</w:t>
            </w:r>
          </w:p>
        </w:tc>
        <w:tc>
          <w:tcPr>
            <w:tcW w:type="dxa" w:w="3061"/>
          </w:tcPr>
          <w:p>
            <w:r/>
            <w:r>
              <w:rPr>
                <w:sz w:val="18"/>
              </w:rPr>
              <w:t>Detailed fully in Leakage Analysis §C.5–C.6; listed here for roadmap completeness</w:t>
            </w:r>
          </w:p>
        </w:tc>
        <w:tc>
          <w:tcPr>
            <w:tcW w:type="dxa" w:w="850"/>
          </w:tcPr>
          <w:p>
            <w:r/>
            <w:r>
              <w:rPr>
                <w:sz w:val="18"/>
              </w:rPr>
              <w:t>Small</w:t>
            </w:r>
          </w:p>
        </w:tc>
      </w:tr>
    </w:tbl>
    <w:p/>
    <w:p>
      <w:pPr>
        <w:pStyle w:val="Heading2"/>
      </w:pPr>
      <w:r>
        <w:t>Priority 4 — Nice to have</w:t>
      </w:r>
    </w:p>
    <w:p>
      <w:pPr>
        <w:pStyle w:val="ListBullet"/>
      </w:pPr>
      <w:r>
        <w:t>Print-friendly / PDF-friendly layout for the waterfall modal, for sharing a single SKU's P&amp;L outside the tool</w:t>
      </w:r>
    </w:p>
    <w:p>
      <w:pPr>
        <w:pStyle w:val="ListBullet"/>
      </w:pPr>
      <w:r>
        <w:t>Basic responsive layout for tablet use (current fixed 220px sidebar + multi-column grids assume a desktop screen)</w:t>
      </w:r>
    </w:p>
    <w:p>
      <w:pPr>
        <w:pStyle w:val="ListBullet"/>
      </w:pPr>
      <w:r>
        <w:t>Dark mode toggle</w:t>
      </w:r>
    </w:p>
    <w:p>
      <w:r>
        <w:br w:type="page"/>
      </w:r>
    </w:p>
    <w:p>
      <w:pPr>
        <w:pStyle w:val="Heading1"/>
      </w:pPr>
      <w:r>
        <w:t>5. Summary</w:t>
      </w:r>
    </w:p>
    <w:p>
      <w:r>
        <w:rPr>
          <w:b w:val="0"/>
          <w:i w:val="0"/>
          <w:sz w:val="21"/>
        </w:rPr>
        <w:t>The tool already delivers on its core promise — live MRP/rate editing with instant waterfall recalculation across all 54 SKUs, in a single file the MD can open with no install. The gaps that remain are consistent and narrow: overhead rates aren't editable in-app, the tool isn't quite as offline as advertised, nothing survives a browser refresh, only one channel is visible, and the tool doesn't yet scale its UI (sort/search/audit) beyond the current SKU count. None of the four priority tiers above require re-touching the validated formula logic in engine.py or calcSKU() — they are additive features layered on top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