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Peps Industries — Product Contribution Automation</w:t>
      </w:r>
    </w:p>
    <w:p>
      <w:pPr>
        <w:spacing w:after="28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Project Context &amp; Status Summary  |  For continuation on CFO Laptop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Project Objective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Eliminate manual updates to Product Contribution Cost Sheets across all 4 brands. Previously, every MRP change required the Works Manager to manually update each sheet. The goal is a live self-service tool where the MD changes an MRP and sees net margin impact instantly across all SKUs — no Works Manager intervention for routine pricing decisions.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Brands: </w:t>
      </w:r>
      <w:r>
        <w:rPr>
          <w:rFonts w:ascii="Calibri" w:cs="Calibri" w:eastAsia="Calibri" w:hAnsi="Calibri"/>
          <w:sz w:val="20"/>
          <w:szCs w:val="20"/>
        </w:rPr>
        <w:t xml:space="preserve">Peps Spring, Cirrus Foam, Italiano, Accessories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Stakeholders: </w:t>
      </w:r>
      <w:r>
        <w:rPr>
          <w:rFonts w:ascii="Calibri" w:cs="Calibri" w:eastAsia="Calibri" w:hAnsi="Calibri"/>
          <w:sz w:val="20"/>
          <w:szCs w:val="20"/>
        </w:rPr>
        <w:t xml:space="preserve">MD (pricing), COO (architecture authority), Works Manager (production/materials), Finance (overhead rates)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COO mandate: </w:t>
      </w:r>
      <w:r>
        <w:rPr>
          <w:rFonts w:ascii="Calibri" w:cs="Calibri" w:eastAsia="Calibri" w:hAnsi="Calibri"/>
          <w:sz w:val="20"/>
          <w:szCs w:val="20"/>
        </w:rPr>
        <w:t xml:space="preserve">Three-layer architecture — Master Parameters → Contribution Calculator → Outputs. RM cost from Ramco BOM, not manual entry.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What Has Been Built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2a.  Input Collection Workbook  (Peps_Input_Collection_v1.xlsx)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Three tabs: Finance Inputs, Works Manager Inputs, Commercial Policy. Pre-populated with current values from source sheets. Already dispatched to Finance and Works Manager.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2b.  Python Calculation Engine  (peps_engine/)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Files: engine.py, config.py, sku_master.py, runner.py. Replicates the full P&amp;L waterfall for all 53 SKUs across 4 brands. Passes 13/14 validation targets against source sheets. One minor failure: BO accessories SR basis discrepancy, impact &lt; 0.5% on NM, flagged for Works Manager confirmation.</w:t>
      </w:r>
    </w:p>
    <w:p>
      <w:pPr>
        <w:shd w:fill="2E75B6" w:val="clear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Critical formula bases — verified from source sheets. Do NOT re-derive without re-validating.</w:t>
      </w:r>
    </w:p>
    <w:p>
      <w:pPr>
        <w:spacing w:after="36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Sales return</w:t>
      </w:r>
      <w:r>
        <w:rPr>
          <w:rFonts w:ascii="Calibri" w:cs="Calibri" w:eastAsia="Calibri" w:hAnsi="Calibri"/>
          <w:sz w:val="20"/>
          <w:szCs w:val="20"/>
        </w:rPr>
        <w:t xml:space="preserve"> = % of RM cost  (NOT MRP or NBR)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CD</w:t>
      </w:r>
      <w:r>
        <w:rPr>
          <w:rFonts w:ascii="Calibri" w:cs="Calibri" w:eastAsia="Calibri" w:hAnsi="Calibri"/>
          <w:sz w:val="20"/>
          <w:szCs w:val="20"/>
        </w:rPr>
        <w:t xml:space="preserve"> = % of distributor price  (NOT NBR)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DCT</w:t>
      </w:r>
      <w:r>
        <w:rPr>
          <w:rFonts w:ascii="Calibri" w:cs="Calibri" w:eastAsia="Calibri" w:hAnsi="Calibri"/>
          <w:sz w:val="20"/>
          <w:szCs w:val="20"/>
        </w:rPr>
        <w:t xml:space="preserve"> = % of (dealer_price / 1.18)  — GST-exclusive dealer price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TOD</w:t>
      </w:r>
      <w:r>
        <w:rPr>
          <w:rFonts w:ascii="Calibri" w:cs="Calibri" w:eastAsia="Calibri" w:hAnsi="Calibri"/>
          <w:sz w:val="20"/>
          <w:szCs w:val="20"/>
        </w:rPr>
        <w:t xml:space="preserve"> = % of Net Billing Rate (NBR)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Scheme</w:t>
      </w:r>
      <w:r>
        <w:rPr>
          <w:rFonts w:ascii="Calibri" w:cs="Calibri" w:eastAsia="Calibri" w:hAnsi="Calibri"/>
          <w:sz w:val="20"/>
          <w:szCs w:val="20"/>
        </w:rPr>
        <w:t xml:space="preserve"> = % of RM cost  — stable across MRP changes, critical for what-if accuracy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Admin OHS / Marketing</w:t>
      </w:r>
      <w:r>
        <w:rPr>
          <w:rFonts w:ascii="Calibri" w:cs="Calibri" w:eastAsia="Calibri" w:hAnsi="Calibri"/>
          <w:sz w:val="20"/>
          <w:szCs w:val="20"/>
        </w:rPr>
        <w:t xml:space="preserve"> = % of RM for Cirrus/Italiano/Accessories. Lump ₹ for Peps only.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 taxes</w:t>
      </w:r>
      <w:r>
        <w:rPr>
          <w:rFonts w:ascii="Calibri" w:cs="Calibri" w:eastAsia="Calibri" w:hAnsi="Calibri"/>
          <w:sz w:val="20"/>
          <w:szCs w:val="20"/>
        </w:rPr>
        <w:t xml:space="preserve"> = ebt × rate always (negative EBT = negative tax = deferred asset). NOT max(0)×rate.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NM %</w:t>
      </w:r>
      <w:r>
        <w:rPr>
          <w:rFonts w:ascii="Calibri" w:cs="Calibri" w:eastAsia="Calibri" w:hAnsi="Calibri"/>
          <w:sz w:val="20"/>
          <w:szCs w:val="20"/>
        </w:rPr>
        <w:t xml:space="preserve"> = net_margin / net_sales  (NOT / MRP)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Peps</w:t>
      </w:r>
      <w:r>
        <w:rPr>
          <w:rFonts w:ascii="Calibri" w:cs="Calibri" w:eastAsia="Calibri" w:hAnsi="Calibri"/>
          <w:sz w:val="20"/>
          <w:szCs w:val="20"/>
        </w:rPr>
        <w:t xml:space="preserve">: tax = 0, depreciation = 0  (per management notes in source)</w:t>
      </w:r>
    </w:p>
    <w:p>
      <w:pPr>
        <w:spacing w:after="80" w:before="3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Cirrus/Italiano depreciation</w:t>
      </w:r>
      <w:r>
        <w:rPr>
          <w:rFonts w:ascii="Calibri" w:cs="Calibri" w:eastAsia="Calibri" w:hAnsi="Calibri"/>
          <w:sz w:val="20"/>
          <w:szCs w:val="20"/>
        </w:rPr>
        <w:t xml:space="preserve">: 2.59% of RM  |  Accessories: 1.55% of RM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Scheme rates (% of RM) — verified: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1800"/>
      </w:tblGrid>
      <w:tr>
        <w:tc>
          <w:tcPr>
            <w:tcW w:type="dxa" w:w="3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Scheme % RM</w:t>
            </w:r>
          </w:p>
        </w:tc>
        <w:tc>
          <w:tcPr>
            <w:tcW w:type="dxa" w:w="1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 Spring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 South</w:t>
            </w:r>
          </w:p>
        </w:tc>
        <w:tc>
          <w:tcPr>
            <w:tcW w:type="dxa" w:w="2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13.2431%</w:t>
            </w:r>
          </w:p>
        </w:tc>
        <w:tc>
          <w:tcPr>
            <w:tcW w:type="dxa" w:w="1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10:1</w:t>
            </w:r>
          </w:p>
        </w:tc>
      </w:tr>
      <w:tr>
        <w:tc>
          <w:tcPr>
            <w:tcW w:type="dxa" w:w="3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Cirrus Foam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 South</w:t>
            </w:r>
          </w:p>
        </w:tc>
        <w:tc>
          <w:tcPr>
            <w:tcW w:type="dxa" w:w="2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13.3759%</w:t>
            </w:r>
          </w:p>
        </w:tc>
        <w:tc>
          <w:tcPr>
            <w:tcW w:type="dxa" w:w="1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10:1</w:t>
            </w:r>
          </w:p>
        </w:tc>
      </w:tr>
      <w:tr>
        <w:tc>
          <w:tcPr>
            <w:tcW w:type="dxa" w:w="3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Cirrus Inspree PU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 South</w:t>
            </w:r>
          </w:p>
        </w:tc>
        <w:tc>
          <w:tcPr>
            <w:tcW w:type="dxa" w:w="2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14.8600%</w:t>
            </w:r>
          </w:p>
        </w:tc>
        <w:tc>
          <w:tcPr>
            <w:tcW w:type="dxa" w:w="1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9:1</w:t>
            </w:r>
          </w:p>
        </w:tc>
      </w:tr>
      <w:tr>
        <w:tc>
          <w:tcPr>
            <w:tcW w:type="dxa" w:w="3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Italiano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 South</w:t>
            </w:r>
          </w:p>
        </w:tc>
        <w:tc>
          <w:tcPr>
            <w:tcW w:type="dxa" w:w="2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18.3736%</w:t>
            </w:r>
          </w:p>
        </w:tc>
        <w:tc>
          <w:tcPr>
            <w:tcW w:type="dxa" w:w="1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7:1</w:t>
            </w:r>
          </w:p>
        </w:tc>
      </w:tr>
      <w:tr>
        <w:tc>
          <w:tcPr>
            <w:tcW w:type="dxa" w:w="3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South</w:t>
            </w:r>
          </w:p>
        </w:tc>
        <w:tc>
          <w:tcPr>
            <w:tcW w:type="dxa" w:w="2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3:0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2c.  Single-File HTML Tool  (peps_contribution_tool.html)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Self-contained. No server, no Python, no install. Opens in Chrome/Edge directly. Full JS engine embedded — all 53 SKUs recalculate in browser instantly.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Features: NM Abstract with colour pills (green ≥12%, amber 6-12%, red &lt;6%) | Live MRP editing | Commercial Rates page (all margins/discounts/schemes editable) | Full P&amp;L waterfall per SKU | Brand/NM filters | Ramco BOM upload slot (CSV/Excel) | Excel export (NM Abstract + Full Waterfall + Rates Snapshot).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Status: Shared internally. All data embedded — internal circulation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Pending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00"/>
      </w:tblGrid>
      <w:tr>
        <w:tc>
          <w:tcPr>
            <w:tcW w:type="dxa" w:w="3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is needed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Input sheets</w:t>
            </w:r>
          </w:p>
        </w:tc>
        <w:tc>
          <w:tcPr>
            <w:tcW w:type="dxa" w:w="3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+ WM to return filled Peps_Input_Collection_v1.xlsx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/ WM</w:t>
            </w:r>
          </w:p>
        </w:tc>
      </w:tr>
      <w:tr>
        <w:tc>
          <w:tcPr>
            <w:tcW w:type="dxa" w:w="3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Config update</w:t>
            </w:r>
          </w:p>
        </w:tc>
        <w:tc>
          <w:tcPr>
            <w:tcW w:type="dxa" w:w="3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Parse returned sheets → update config.py and HTML embedded rates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dxa" w:w="3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Ramco BOM test extract</w:t>
            </w:r>
          </w:p>
        </w:tc>
        <w:tc>
          <w:tcPr>
            <w:tcW w:type="dxa" w:w="3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WM pulls Peps Comfort 6/8/10" from Ramco standard cost — just 3 SKUs to verify format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Works Manager</w:t>
            </w:r>
          </w:p>
        </w:tc>
      </w:tr>
      <w:tr>
        <w:tc>
          <w:tcPr>
            <w:tcW w:type="dxa" w:w="3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BOM parser validation</w:t>
            </w:r>
          </w:p>
        </w:tc>
        <w:tc>
          <w:tcPr>
            <w:tcW w:type="dxa" w:w="3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Upload to HTML tool, verify item code matching and RM update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dxa" w:w="3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BOM completion</w:t>
            </w:r>
          </w:p>
        </w:tc>
        <w:tc>
          <w:tcPr>
            <w:tcW w:type="dxa" w:w="3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 BOMs in Ramco for top 20 SKUs by revenue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 / WM</w:t>
            </w:r>
          </w:p>
        </w:tc>
      </w:tr>
      <w:tr>
        <w:tc>
          <w:tcPr>
            <w:tcW w:type="dxa" w:w="32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HTML feedback</w:t>
            </w:r>
          </w:p>
        </w:tc>
        <w:tc>
          <w:tcPr>
            <w:tcW w:type="dxa" w:w="38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MD / COO / WM review shared file — layout, missing SKUs, rate accuracy</w:t>
            </w:r>
          </w:p>
        </w:tc>
        <w:tc>
          <w:tcPr>
            <w:tcW w:type="dxa" w:w="20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Architecture Summary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Layer 1 — Master Parameters: </w:t>
      </w:r>
      <w:r>
        <w:rPr>
          <w:rFonts w:ascii="Calibri" w:cs="Calibri" w:eastAsia="Calibri" w:hAnsi="Calibri"/>
          <w:sz w:val="20"/>
          <w:szCs w:val="20"/>
        </w:rPr>
        <w:t xml:space="preserve">config.py + HTML Rates page. Single source of truth for all rates. Finance sets overhead rates; MD sets commercial policy.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Layer 2 — Calculator: </w:t>
      </w:r>
      <w:r>
        <w:rPr>
          <w:rFonts w:ascii="Calibri" w:cs="Calibri" w:eastAsia="Calibri" w:hAnsi="Calibri"/>
          <w:sz w:val="20"/>
          <w:szCs w:val="20"/>
        </w:rPr>
        <w:t xml:space="preserve">engine.py + embedded JS. MRP + RM + params → full P&amp;L waterfall per SKU per channel.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Layer 3 — Outputs: </w:t>
      </w:r>
      <w:r>
        <w:rPr>
          <w:rFonts w:ascii="Calibri" w:cs="Calibri" w:eastAsia="Calibri" w:hAnsi="Calibri"/>
          <w:sz w:val="20"/>
          <w:szCs w:val="20"/>
        </w:rPr>
        <w:t xml:space="preserve">NM Abstract (HTML live view), Excel export, Python batch runner.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Ramco integration (Phase 2): </w:t>
      </w:r>
      <w:r>
        <w:rPr>
          <w:rFonts w:ascii="Calibri" w:cs="Calibri" w:eastAsia="Calibri" w:hAnsi="Calibri"/>
          <w:sz w:val="20"/>
          <w:szCs w:val="20"/>
        </w:rPr>
        <w:t xml:space="preserve">BOM explosion standard cost → CSV/Excel upload → auto-replaces RM column. Works Manager uploads periodically. No manual RM entry once BOM is complete in Ramco.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Files Delivered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Peps_Input_Collection_v1.xlsx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Input workbook sent to Finance and Works Manager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peps_engine/engine.py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P&amp;L engine — all formula bases verified against source sheets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peps_engine/config.py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Master parameters — rates, overheads, commercial policy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peps_engine/sku_master.py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53 SKUs with MRP, RM cost, freight, consumer scheme, channel keys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peps_engine/runner.py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Batch runner — validation, NM abstract, what-if analysis</w:t>
            </w:r>
          </w:p>
        </w:tc>
      </w:tr>
      <w:tr>
        <w:tc>
          <w:tcPr>
            <w:tcW w:type="dxa" w:w="36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peps_contribution_tool.html</w:t>
            </w:r>
          </w:p>
        </w:tc>
        <w:tc>
          <w:tcPr>
            <w:tcW w:type="dxa" w:w="5400"/>
            <w:tcBorders>
              <w:top w:val="single" w:color="D0D4DD" w:sz="1"/>
              <w:left w:val="single" w:color="D0D4DD" w:sz="1"/>
              <w:bottom w:val="single" w:color="D0D4DD" w:sz="1"/>
              <w:right w:val="single" w:color="D0D4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Single-file MD tool — browser-based, no install required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Known Issues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Stargaze Pillow SR: </w:t>
      </w:r>
      <w:r>
        <w:rPr>
          <w:rFonts w:ascii="Calibri" w:cs="Calibri" w:eastAsia="Calibri" w:hAnsi="Calibri"/>
          <w:sz w:val="20"/>
          <w:szCs w:val="20"/>
        </w:rPr>
        <w:t xml:space="preserve">1.95% delta vs source. BO accessories SR basis unresolvable from source. Impact &lt; ₹1 on NM. TBC with Works Manager.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Sanibel/Ardene RM costs: </w:t>
      </w:r>
      <w:r>
        <w:rPr>
          <w:rFonts w:ascii="Calibri" w:cs="Calibri" w:eastAsia="Calibri" w:hAnsi="Calibri"/>
          <w:sz w:val="20"/>
          <w:szCs w:val="20"/>
        </w:rPr>
        <w:t xml:space="preserve">Estimated, not from BOM. Will be replaced by Ramco extract.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Multi-channel: </w:t>
      </w:r>
      <w:r>
        <w:rPr>
          <w:rFonts w:ascii="Calibri" w:cs="Calibri" w:eastAsia="Calibri" w:hAnsi="Calibri"/>
          <w:sz w:val="20"/>
          <w:szCs w:val="20"/>
        </w:rPr>
        <w:t xml:space="preserve">Only South DIS shown in HTML tool. DD, ROI, North, West configured in engine but not surfaced yet.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50" w:before="30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2026-04-21T06:09:14.039Z</dcterms:created>
  <dcterms:modified xsi:type="dcterms:W3CDTF">2026-04-21T06:09:14.040Z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