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6B53E" w14:textId="77777777" w:rsidR="00B01618" w:rsidRDefault="00000000">
      <w:pPr>
        <w:spacing w:after="80"/>
      </w:pPr>
      <w:r>
        <w:rPr>
          <w:b/>
          <w:bCs/>
          <w:color w:val="1F3864"/>
          <w:sz w:val="32"/>
          <w:szCs w:val="32"/>
        </w:rPr>
        <w:t xml:space="preserve">ERP Integration — MES to Ramco via ShopFloor APIs</w:t>
      </w:r>
    </w:p>
    <w:p w14:paraId="3BF3CC7D" w14:textId="77777777" w:rsidR="00B01618" w:rsidRDefault="00000000">
      <w:pPr>
        <w:spacing w:after="40"/>
      </w:pPr>
      <w:r>
        <w:rPr>
          <w:color w:val="555555"/>
        </w:rPr>
        <w:t xml:space="preserve">Prepared for: Kalanjiyam Technological Solutions Pvt. Ltd.</w:t>
      </w:r>
    </w:p>
    <w:p w14:paraId="12F89D65" w14:textId="77777777" w:rsidR="00B01618" w:rsidRDefault="00000000">
      <w:pPr>
        <w:spacing w:after="40"/>
      </w:pPr>
      <w:r>
        <w:rPr>
          <w:color w:val="555555"/>
        </w:rPr>
        <w:t xml:space="preserve">Prepared by: PEPS Industries Pvt. Ltd. — IT</w:t>
      </w:r>
    </w:p>
    <w:p w14:paraId="66BAF831" w14:textId="77777777" w:rsidR="00B01618" w:rsidRDefault="00000000">
      <w:pPr>
        <w:spacing w:after="40"/>
      </w:pPr>
      <w:r>
        <w:rPr>
          <w:color w:val="555555"/>
        </w:rPr>
        <w:t>Date: 8 August 2026 | Version: 2.0</w:t>
      </w:r>
    </w:p>
    <w:p w14:paraId="2DD05B19" w14:textId="77777777" w:rsidR="00B01618" w:rsidRDefault="00000000">
      <w:pPr>
        <w:spacing w:after="80"/>
      </w:pPr>
      <w:r>
        <w:rPr>
          <w:color w:val="555555"/>
        </w:rPr>
        <w:t>Reference: Kalanjiyam Business Proposal 202526-LE-0053, dated 30 July 2026</w:t>
      </w:r>
    </w:p>
    <w:p w14:paraId="2D43AC1E" w14:textId="77777777" w:rsidR="00B01618" w:rsidRDefault="00B01618">
      <w:pPr>
        <w:pBdr>
          <w:bottom w:val="single" w:sz="6" w:space="0" w:color="CCCCCC"/>
        </w:pBdr>
        <w:spacing w:before="120" w:after="120"/>
      </w:pPr>
    </w:p>
    <w:p w14:paraId="182ED32B" w14:textId="77777777" w:rsidR="00B01618" w:rsidRDefault="00000000">
      <w:pPr>
        <w:pStyle w:val="Heading1"/>
        <w:spacing w:before="280" w:after="100"/>
      </w:pPr>
      <w:r>
        <w:rPr>
          <w:b/>
          <w:bCs/>
          <w:color w:val="1F3864"/>
          <w:sz w:val="26"/>
          <w:szCs w:val="26"/>
        </w:rPr>
        <w:t>1. Purpose</w:t>
      </w:r>
    </w:p>
    <w:p w14:paraId="5767CB0C" w14:textId="77777777" w:rsidR="00B01618" w:rsidRDefault="00000000">
      <w:pPr>
        <w:spacing w:before="60" w:after="60"/>
      </w:pPr>
      <w:r>
        <w:t xml:space="preserve">This document defines the ERP integration requirement for Kalanjiyam's MES engagement. It specifies that Milestone 2 ERP integration must be implemented via direct POST calls to Ramco MAGNA ShopFloor Control (SFC) APIs — not via CSV export or file-based feed. Kalanjiyam is required to confirm technical feasibility and revise Milestone 2 scope and pricing accordingly.</w:t>
      </w:r>
    </w:p>
    <w:p w14:paraId="53CF7708" w14:textId="77777777" w:rsidR="00B01618" w:rsidRDefault="00000000">
      <w:pPr>
        <w:pStyle w:val="Heading1"/>
        <w:spacing w:before="280" w:after="100"/>
      </w:pPr>
      <w:r>
        <w:rPr>
          <w:b/>
          <w:bCs/>
          <w:color w:val="1F3864"/>
          <w:sz w:val="26"/>
          <w:szCs w:val="26"/>
        </w:rPr>
        <w:t>2. Confirmed API Endpoints</w:t>
      </w:r>
    </w:p>
    <w:p w14:paraId="59165D40" w14:textId="77777777" w:rsidR="00B01618" w:rsidRDefault="00000000">
      <w:pPr>
        <w:spacing w:before="60" w:after="60"/>
      </w:pPr>
      <w:r>
        <w:t>The following POST endpoints are confirmed available on the Peps Ramco MAGNA instance under the Shop Floor Control (SFC) module. These endpoints cover the complete WO cycle required for each production stage.</w:t>
      </w:r>
    </w:p>
    <w:p w14:paraId="4A0436F1" w14:textId="77777777" w:rsidR="00B01618" w:rsidRDefault="00B01618">
      <w:pPr>
        <w:spacing w:before="80"/>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776"/>
      </w:tblGrid>
      <w:tr w:rsidR="00B01618" w14:paraId="2123A6FB" w14:textId="77777777" w:rsidTr="00BF2896">
        <w:tblPrEx>
          <w:tblCellMar>
            <w:top w:w="0" w:type="dxa"/>
            <w:bottom w:w="0" w:type="dxa"/>
          </w:tblCellMar>
        </w:tblPrEx>
        <w:trPr>
          <w:tblHeader/>
        </w:trPr>
        <w:tc>
          <w:tcPr>
            <w:tcW w:w="2800" w:type="dxa"/>
            <w:shd w:val="clear" w:color="auto" w:fill="D6E4F0"/>
            <w:tcMar>
              <w:top w:w="80" w:type="dxa"/>
              <w:left w:w="100" w:type="dxa"/>
              <w:bottom w:w="80" w:type="dxa"/>
              <w:right w:w="100" w:type="dxa"/>
            </w:tcMar>
          </w:tcPr>
          <w:p w14:paraId="1EBC9B76" w14:textId="77777777" w:rsidR="00B01618" w:rsidRDefault="00000000">
            <w:pPr>
              <w:spacing w:before="60" w:after="60"/>
            </w:pPr>
            <w:r>
              <w:rPr>
                <w:b/>
                <w:bCs/>
                <w:sz w:val="19"/>
                <w:szCs w:val="19"/>
              </w:rPr>
              <w:t>API Name</w:t>
            </w:r>
          </w:p>
        </w:tc>
        <w:tc>
          <w:tcPr>
            <w:tcW w:w="1200" w:type="dxa"/>
            <w:shd w:val="clear" w:color="auto" w:fill="D6E4F0"/>
            <w:tcMar>
              <w:top w:w="80" w:type="dxa"/>
              <w:left w:w="100" w:type="dxa"/>
              <w:bottom w:w="80" w:type="dxa"/>
              <w:right w:w="100" w:type="dxa"/>
            </w:tcMar>
          </w:tcPr>
          <w:p w14:paraId="44A4C486" w14:textId="77777777" w:rsidR="00B01618" w:rsidRDefault="00000000">
            <w:pPr>
              <w:spacing w:before="60" w:after="60"/>
            </w:pPr>
            <w:r>
              <w:rPr>
                <w:b/>
                <w:bCs/>
                <w:sz w:val="19"/>
                <w:szCs w:val="19"/>
              </w:rPr>
              <w:t>Method</w:t>
            </w:r>
          </w:p>
        </w:tc>
        <w:tc>
          <w:tcPr>
            <w:tcW w:w="5776" w:type="dxa"/>
            <w:shd w:val="clear" w:color="auto" w:fill="D6E4F0"/>
            <w:tcMar>
              <w:top w:w="80" w:type="dxa"/>
              <w:left w:w="100" w:type="dxa"/>
              <w:bottom w:w="80" w:type="dxa"/>
              <w:right w:w="100" w:type="dxa"/>
            </w:tcMar>
          </w:tcPr>
          <w:p w14:paraId="00142D8A" w14:textId="77777777" w:rsidR="00B01618" w:rsidRDefault="00000000">
            <w:pPr>
              <w:spacing w:before="60" w:after="60"/>
            </w:pPr>
            <w:r>
              <w:rPr>
                <w:b/>
                <w:bCs/>
                <w:sz w:val="19"/>
                <w:szCs w:val="19"/>
              </w:rPr>
              <w:t>Description</w:t>
            </w:r>
          </w:p>
        </w:tc>
      </w:tr>
      <w:tr w:rsidR="00B01618" w14:paraId="6D8A2959" w14:textId="77777777" w:rsidTr="00BF2896">
        <w:tblPrEx>
          <w:tblCellMar>
            <w:top w:w="0" w:type="dxa"/>
            <w:bottom w:w="0" w:type="dxa"/>
          </w:tblCellMar>
        </w:tblPrEx>
        <w:tc>
          <w:tcPr>
            <w:tcW w:w="2800" w:type="dxa"/>
            <w:tcMar>
              <w:top w:w="80" w:type="dxa"/>
              <w:left w:w="100" w:type="dxa"/>
              <w:bottom w:w="80" w:type="dxa"/>
              <w:right w:w="100" w:type="dxa"/>
            </w:tcMar>
          </w:tcPr>
          <w:p w14:paraId="6FC9A63A" w14:textId="77777777" w:rsidR="00B01618" w:rsidRDefault="00000000">
            <w:pPr>
              <w:spacing w:before="60" w:after="60"/>
            </w:pPr>
            <w:r>
              <w:rPr>
                <w:sz w:val="19"/>
                <w:szCs w:val="19"/>
              </w:rPr>
              <w:t>RunProductionReport</w:t>
            </w:r>
          </w:p>
        </w:tc>
        <w:tc>
          <w:tcPr>
            <w:tcW w:w="1200" w:type="dxa"/>
            <w:tcMar>
              <w:top w:w="80" w:type="dxa"/>
              <w:left w:w="100" w:type="dxa"/>
              <w:bottom w:w="80" w:type="dxa"/>
              <w:right w:w="100" w:type="dxa"/>
            </w:tcMar>
          </w:tcPr>
          <w:p w14:paraId="25FAEBA5" w14:textId="77777777" w:rsidR="00B01618" w:rsidRDefault="00000000">
            <w:pPr>
              <w:spacing w:before="60" w:after="60"/>
            </w:pPr>
            <w:r>
              <w:rPr>
                <w:sz w:val="19"/>
                <w:szCs w:val="19"/>
              </w:rPr>
              <w:t>POST</w:t>
            </w:r>
          </w:p>
        </w:tc>
        <w:tc>
          <w:tcPr>
            <w:tcW w:w="5776" w:type="dxa"/>
            <w:tcMar>
              <w:top w:w="80" w:type="dxa"/>
              <w:left w:w="100" w:type="dxa"/>
              <w:bottom w:w="80" w:type="dxa"/>
              <w:right w:w="100" w:type="dxa"/>
            </w:tcMar>
          </w:tcPr>
          <w:p w14:paraId="262ED410" w14:textId="77777777" w:rsidR="00B01618" w:rsidRDefault="00000000">
            <w:pPr>
              <w:spacing w:before="60" w:after="60"/>
            </w:pPr>
            <w:r>
              <w:rPr>
                <w:sz w:val="19"/>
                <w:szCs w:val="19"/>
              </w:rPr>
              <w:t>Activates the work order and initiates the production reporting session</w:t>
            </w:r>
          </w:p>
        </w:tc>
      </w:tr>
      <w:tr w:rsidR="00B01618" w14:paraId="778CDA8F" w14:textId="77777777" w:rsidTr="00BF2896">
        <w:tblPrEx>
          <w:tblCellMar>
            <w:top w:w="0" w:type="dxa"/>
            <w:bottom w:w="0" w:type="dxa"/>
          </w:tblCellMar>
        </w:tblPrEx>
        <w:tc>
          <w:tcPr>
            <w:tcW w:w="2800" w:type="dxa"/>
            <w:tcMar>
              <w:top w:w="80" w:type="dxa"/>
              <w:left w:w="100" w:type="dxa"/>
              <w:bottom w:w="80" w:type="dxa"/>
              <w:right w:w="100" w:type="dxa"/>
            </w:tcMar>
          </w:tcPr>
          <w:p w14:paraId="68613CBB" w14:textId="77777777" w:rsidR="00B01618" w:rsidRDefault="00000000">
            <w:pPr>
              <w:spacing w:before="60" w:after="60"/>
            </w:pPr>
            <w:r>
              <w:rPr>
                <w:sz w:val="19"/>
                <w:szCs w:val="19"/>
              </w:rPr>
              <w:t>ReportQty</w:t>
            </w:r>
          </w:p>
        </w:tc>
        <w:tc>
          <w:tcPr>
            <w:tcW w:w="1200" w:type="dxa"/>
            <w:tcMar>
              <w:top w:w="80" w:type="dxa"/>
              <w:left w:w="100" w:type="dxa"/>
              <w:bottom w:w="80" w:type="dxa"/>
              <w:right w:w="100" w:type="dxa"/>
            </w:tcMar>
          </w:tcPr>
          <w:p w14:paraId="7563C672" w14:textId="77777777" w:rsidR="00B01618" w:rsidRDefault="00000000">
            <w:pPr>
              <w:spacing w:before="60" w:after="60"/>
            </w:pPr>
            <w:r>
              <w:rPr>
                <w:sz w:val="19"/>
                <w:szCs w:val="19"/>
              </w:rPr>
              <w:t>POST</w:t>
            </w:r>
          </w:p>
        </w:tc>
        <w:tc>
          <w:tcPr>
            <w:tcW w:w="5776" w:type="dxa"/>
            <w:tcMar>
              <w:top w:w="80" w:type="dxa"/>
              <w:left w:w="100" w:type="dxa"/>
              <w:bottom w:w="80" w:type="dxa"/>
              <w:right w:w="100" w:type="dxa"/>
            </w:tcMar>
          </w:tcPr>
          <w:p w14:paraId="0FC0EE91" w14:textId="77777777" w:rsidR="00B01618" w:rsidRDefault="00000000">
            <w:pPr>
              <w:spacing w:before="60" w:after="60"/>
            </w:pPr>
            <w:r>
              <w:rPr>
                <w:sz w:val="19"/>
                <w:szCs w:val="19"/>
              </w:rPr>
              <w:t>Reports the quantity of produced items against the work order</w:t>
            </w:r>
          </w:p>
        </w:tc>
      </w:tr>
      <w:tr w:rsidR="00B01618" w14:paraId="36AA47F6" w14:textId="77777777" w:rsidTr="00BF2896">
        <w:tblPrEx>
          <w:tblCellMar>
            <w:top w:w="0" w:type="dxa"/>
            <w:bottom w:w="0" w:type="dxa"/>
          </w:tblCellMar>
        </w:tblPrEx>
        <w:tc>
          <w:tcPr>
            <w:tcW w:w="2800" w:type="dxa"/>
            <w:tcMar>
              <w:top w:w="80" w:type="dxa"/>
              <w:left w:w="100" w:type="dxa"/>
              <w:bottom w:w="80" w:type="dxa"/>
              <w:right w:w="100" w:type="dxa"/>
            </w:tcMar>
          </w:tcPr>
          <w:p w14:paraId="71A98E64" w14:textId="77777777" w:rsidR="00B01618" w:rsidRDefault="00000000">
            <w:pPr>
              <w:spacing w:before="60" w:after="60"/>
            </w:pPr>
            <w:r>
              <w:rPr>
                <w:sz w:val="19"/>
                <w:szCs w:val="19"/>
              </w:rPr>
              <w:t>BackflushMaterial</w:t>
            </w:r>
          </w:p>
        </w:tc>
        <w:tc>
          <w:tcPr>
            <w:tcW w:w="1200" w:type="dxa"/>
            <w:tcMar>
              <w:top w:w="80" w:type="dxa"/>
              <w:left w:w="100" w:type="dxa"/>
              <w:bottom w:w="80" w:type="dxa"/>
              <w:right w:w="100" w:type="dxa"/>
            </w:tcMar>
          </w:tcPr>
          <w:p w14:paraId="10C888A5" w14:textId="77777777" w:rsidR="00B01618" w:rsidRDefault="00000000">
            <w:pPr>
              <w:spacing w:before="60" w:after="60"/>
            </w:pPr>
            <w:r>
              <w:rPr>
                <w:sz w:val="19"/>
                <w:szCs w:val="19"/>
              </w:rPr>
              <w:t>POST</w:t>
            </w:r>
          </w:p>
        </w:tc>
        <w:tc>
          <w:tcPr>
            <w:tcW w:w="5776" w:type="dxa"/>
            <w:tcMar>
              <w:top w:w="80" w:type="dxa"/>
              <w:left w:w="100" w:type="dxa"/>
              <w:bottom w:w="80" w:type="dxa"/>
              <w:right w:w="100" w:type="dxa"/>
            </w:tcMar>
          </w:tcPr>
          <w:p w14:paraId="782ECE39" w14:textId="77777777" w:rsidR="00B01618" w:rsidRDefault="00000000">
            <w:pPr>
              <w:spacing w:before="60" w:after="60"/>
            </w:pPr>
            <w:r>
              <w:rPr>
                <w:sz w:val="19"/>
                <w:szCs w:val="19"/>
              </w:rPr>
              <w:t>Executes backflush of input materials against the work order BOM</w:t>
            </w:r>
          </w:p>
        </w:tc>
      </w:tr>
      <w:tr w:rsidR="00B01618" w14:paraId="1F6BA687" w14:textId="77777777" w:rsidTr="00BF2896">
        <w:tblPrEx>
          <w:tblCellMar>
            <w:top w:w="0" w:type="dxa"/>
            <w:bottom w:w="0" w:type="dxa"/>
          </w:tblCellMar>
        </w:tblPrEx>
        <w:tc>
          <w:tcPr>
            <w:tcW w:w="2800" w:type="dxa"/>
            <w:tcMar>
              <w:top w:w="80" w:type="dxa"/>
              <w:left w:w="100" w:type="dxa"/>
              <w:bottom w:w="80" w:type="dxa"/>
              <w:right w:w="100" w:type="dxa"/>
            </w:tcMar>
          </w:tcPr>
          <w:p w14:paraId="3D976788" w14:textId="77777777" w:rsidR="00B01618" w:rsidRDefault="00000000">
            <w:pPr>
              <w:spacing w:before="60" w:after="60"/>
            </w:pPr>
            <w:r>
              <w:rPr>
                <w:sz w:val="19"/>
                <w:szCs w:val="19"/>
              </w:rPr>
              <w:t>EndProductionReporting</w:t>
            </w:r>
          </w:p>
        </w:tc>
        <w:tc>
          <w:tcPr>
            <w:tcW w:w="1200" w:type="dxa"/>
            <w:tcMar>
              <w:top w:w="80" w:type="dxa"/>
              <w:left w:w="100" w:type="dxa"/>
              <w:bottom w:w="80" w:type="dxa"/>
              <w:right w:w="100" w:type="dxa"/>
            </w:tcMar>
          </w:tcPr>
          <w:p w14:paraId="746BAAF6" w14:textId="77777777" w:rsidR="00B01618" w:rsidRDefault="00000000">
            <w:pPr>
              <w:spacing w:before="60" w:after="60"/>
            </w:pPr>
            <w:r>
              <w:rPr>
                <w:sz w:val="19"/>
                <w:szCs w:val="19"/>
              </w:rPr>
              <w:t>POST</w:t>
            </w:r>
          </w:p>
        </w:tc>
        <w:tc>
          <w:tcPr>
            <w:tcW w:w="5776" w:type="dxa"/>
            <w:tcMar>
              <w:top w:w="80" w:type="dxa"/>
              <w:left w:w="100" w:type="dxa"/>
              <w:bottom w:w="80" w:type="dxa"/>
              <w:right w:w="100" w:type="dxa"/>
            </w:tcMar>
          </w:tcPr>
          <w:p w14:paraId="618AA869" w14:textId="77777777" w:rsidR="00B01618" w:rsidRDefault="00000000">
            <w:pPr>
              <w:spacing w:before="60" w:after="60"/>
            </w:pPr>
            <w:r>
              <w:rPr>
                <w:sz w:val="19"/>
                <w:szCs w:val="19"/>
              </w:rPr>
              <w:t>Ends the production reporting session and finalises data</w:t>
            </w:r>
          </w:p>
        </w:tc>
      </w:tr>
      <w:tr w:rsidR="00B01618" w14:paraId="64E3755E" w14:textId="77777777" w:rsidTr="00BF2896">
        <w:tblPrEx>
          <w:tblCellMar>
            <w:top w:w="0" w:type="dxa"/>
            <w:bottom w:w="0" w:type="dxa"/>
          </w:tblCellMar>
        </w:tblPrEx>
        <w:tc>
          <w:tcPr>
            <w:tcW w:w="2800" w:type="dxa"/>
            <w:tcMar>
              <w:top w:w="80" w:type="dxa"/>
              <w:left w:w="100" w:type="dxa"/>
              <w:bottom w:w="80" w:type="dxa"/>
              <w:right w:w="100" w:type="dxa"/>
            </w:tcMar>
          </w:tcPr>
          <w:p w14:paraId="7FE04F79" w14:textId="77777777" w:rsidR="00B01618" w:rsidRDefault="00000000">
            <w:pPr>
              <w:spacing w:before="60" w:after="60"/>
            </w:pPr>
            <w:r>
              <w:rPr>
                <w:sz w:val="19"/>
                <w:szCs w:val="19"/>
              </w:rPr>
              <w:t>CloseWorkOrderSFC</w:t>
            </w:r>
          </w:p>
        </w:tc>
        <w:tc>
          <w:tcPr>
            <w:tcW w:w="1200" w:type="dxa"/>
            <w:tcMar>
              <w:top w:w="80" w:type="dxa"/>
              <w:left w:w="100" w:type="dxa"/>
              <w:bottom w:w="80" w:type="dxa"/>
              <w:right w:w="100" w:type="dxa"/>
            </w:tcMar>
          </w:tcPr>
          <w:p w14:paraId="5B55CB44" w14:textId="77777777" w:rsidR="00B01618" w:rsidRDefault="00000000">
            <w:pPr>
              <w:spacing w:before="60" w:after="60"/>
            </w:pPr>
            <w:r>
              <w:rPr>
                <w:sz w:val="19"/>
                <w:szCs w:val="19"/>
              </w:rPr>
              <w:t>POST</w:t>
            </w:r>
          </w:p>
        </w:tc>
        <w:tc>
          <w:tcPr>
            <w:tcW w:w="5776" w:type="dxa"/>
            <w:tcMar>
              <w:top w:w="80" w:type="dxa"/>
              <w:left w:w="100" w:type="dxa"/>
              <w:bottom w:w="80" w:type="dxa"/>
              <w:right w:w="100" w:type="dxa"/>
            </w:tcMar>
          </w:tcPr>
          <w:p w14:paraId="0563E8B7" w14:textId="77777777" w:rsidR="00B01618" w:rsidRDefault="00000000">
            <w:pPr>
              <w:spacing w:before="60" w:after="60"/>
            </w:pPr>
            <w:r>
              <w:rPr>
                <w:sz w:val="19"/>
                <w:szCs w:val="19"/>
              </w:rPr>
              <w:t>Closes the work order upon completion of all steps</w:t>
            </w:r>
          </w:p>
        </w:tc>
      </w:tr>
    </w:tbl>
    <w:p w14:paraId="051A7C88" w14:textId="77777777" w:rsidR="00B01618" w:rsidRDefault="00B01618">
      <w:pPr>
        <w:spacing w:before="80"/>
      </w:pPr>
    </w:p>
    <w:p w14:paraId="642817AA" w14:textId="77777777" w:rsidR="00B01618" w:rsidRDefault="00000000">
      <w:pPr>
        <w:spacing w:before="60" w:after="60"/>
      </w:pPr>
      <w:r>
        <w:t>API schemas — payload structure, mandatory fields, response format, and error codes — will be provided by PEPS IT once Kalanjiyam confirms feasibility. Authentication method and credentials will be provided at the same time.</w:t>
      </w:r>
    </w:p>
    <w:p w14:paraId="106657C5" w14:textId="77777777" w:rsidR="00B01618" w:rsidRDefault="00000000">
      <w:pPr>
        <w:pStyle w:val="Heading1"/>
        <w:spacing w:before="280" w:after="100"/>
      </w:pPr>
      <w:r>
        <w:rPr>
          <w:b/>
          <w:bCs/>
          <w:color w:val="1F3864"/>
          <w:sz w:val="26"/>
          <w:szCs w:val="26"/>
        </w:rPr>
        <w:t>3. Stages in Scope</w:t>
      </w:r>
    </w:p>
    <w:p w14:paraId="4141E739" w14:textId="77777777" w:rsidR="00B01618" w:rsidRDefault="00B01618">
      <w:pPr>
        <w:spacing w:before="80"/>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1418"/>
        <w:gridCol w:w="2126"/>
        <w:gridCol w:w="4961"/>
      </w:tblGrid>
      <w:tr w:rsidR="00B01618" w14:paraId="6FC23F3C" w14:textId="77777777" w:rsidTr="00BF2896">
        <w:tblPrEx>
          <w:tblCellMar>
            <w:top w:w="0" w:type="dxa"/>
            <w:bottom w:w="0" w:type="dxa"/>
          </w:tblCellMar>
        </w:tblPrEx>
        <w:trPr>
          <w:tblHeader/>
        </w:trPr>
        <w:tc>
          <w:tcPr>
            <w:tcW w:w="1271" w:type="dxa"/>
            <w:shd w:val="clear" w:color="auto" w:fill="D6E4F0"/>
            <w:tcMar>
              <w:top w:w="80" w:type="dxa"/>
              <w:left w:w="100" w:type="dxa"/>
              <w:bottom w:w="80" w:type="dxa"/>
              <w:right w:w="100" w:type="dxa"/>
            </w:tcMar>
          </w:tcPr>
          <w:p w14:paraId="18505A90" w14:textId="77777777" w:rsidR="00B01618" w:rsidRDefault="00000000">
            <w:pPr>
              <w:spacing w:before="60" w:after="60"/>
            </w:pPr>
            <w:r>
              <w:rPr>
                <w:b/>
                <w:bCs/>
                <w:sz w:val="19"/>
                <w:szCs w:val="19"/>
              </w:rPr>
              <w:t>Stage</w:t>
            </w:r>
          </w:p>
        </w:tc>
        <w:tc>
          <w:tcPr>
            <w:tcW w:w="1418" w:type="dxa"/>
            <w:shd w:val="clear" w:color="auto" w:fill="D6E4F0"/>
            <w:tcMar>
              <w:top w:w="80" w:type="dxa"/>
              <w:left w:w="100" w:type="dxa"/>
              <w:bottom w:w="80" w:type="dxa"/>
              <w:right w:w="100" w:type="dxa"/>
            </w:tcMar>
          </w:tcPr>
          <w:p w14:paraId="5DAF0C85" w14:textId="77777777" w:rsidR="00B01618" w:rsidRDefault="00000000">
            <w:pPr>
              <w:spacing w:before="60" w:after="60"/>
            </w:pPr>
            <w:r>
              <w:rPr>
                <w:b/>
                <w:bCs/>
                <w:sz w:val="19"/>
                <w:szCs w:val="19"/>
              </w:rPr>
              <w:t>Machines</w:t>
            </w:r>
          </w:p>
        </w:tc>
        <w:tc>
          <w:tcPr>
            <w:tcW w:w="2126" w:type="dxa"/>
            <w:shd w:val="clear" w:color="auto" w:fill="D6E4F0"/>
            <w:tcMar>
              <w:top w:w="80" w:type="dxa"/>
              <w:left w:w="100" w:type="dxa"/>
              <w:bottom w:w="80" w:type="dxa"/>
              <w:right w:w="100" w:type="dxa"/>
            </w:tcMar>
          </w:tcPr>
          <w:p w14:paraId="1F802BBA" w14:textId="77777777" w:rsidR="00B01618" w:rsidRDefault="00000000">
            <w:pPr>
              <w:spacing w:before="60" w:after="60"/>
            </w:pPr>
            <w:r>
              <w:rPr>
                <w:b/>
                <w:bCs/>
                <w:sz w:val="19"/>
                <w:szCs w:val="19"/>
              </w:rPr>
              <w:t>Current ERP Update</w:t>
            </w:r>
          </w:p>
        </w:tc>
        <w:tc>
          <w:tcPr>
            <w:tcW w:w="4961" w:type="dxa"/>
            <w:shd w:val="clear" w:color="auto" w:fill="D6E4F0"/>
            <w:tcMar>
              <w:top w:w="80" w:type="dxa"/>
              <w:left w:w="100" w:type="dxa"/>
              <w:bottom w:w="80" w:type="dxa"/>
              <w:right w:w="100" w:type="dxa"/>
            </w:tcMar>
          </w:tcPr>
          <w:p w14:paraId="131A3725" w14:textId="77777777" w:rsidR="00B01618" w:rsidRDefault="00000000">
            <w:pPr>
              <w:spacing w:before="60" w:after="60"/>
            </w:pPr>
            <w:r>
              <w:rPr>
                <w:b/>
                <w:bCs/>
                <w:sz w:val="19"/>
                <w:szCs w:val="19"/>
              </w:rPr>
              <w:t>Required via SFC API</w:t>
            </w:r>
          </w:p>
        </w:tc>
      </w:tr>
      <w:tr w:rsidR="00B01618" w14:paraId="17170633" w14:textId="77777777" w:rsidTr="00BF2896">
        <w:tblPrEx>
          <w:tblCellMar>
            <w:top w:w="0" w:type="dxa"/>
            <w:bottom w:w="0" w:type="dxa"/>
          </w:tblCellMar>
        </w:tblPrEx>
        <w:tc>
          <w:tcPr>
            <w:tcW w:w="1271" w:type="dxa"/>
            <w:tcMar>
              <w:top w:w="80" w:type="dxa"/>
              <w:left w:w="100" w:type="dxa"/>
              <w:bottom w:w="80" w:type="dxa"/>
              <w:right w:w="100" w:type="dxa"/>
            </w:tcMar>
          </w:tcPr>
          <w:p w14:paraId="0A00D4DD" w14:textId="77777777" w:rsidR="00B01618" w:rsidRDefault="00000000">
            <w:pPr>
              <w:spacing w:before="60" w:after="60"/>
            </w:pPr>
            <w:r>
              <w:rPr>
                <w:sz w:val="19"/>
                <w:szCs w:val="19"/>
              </w:rPr>
              <w:t>Steel (1a–1e)</w:t>
            </w:r>
          </w:p>
        </w:tc>
        <w:tc>
          <w:tcPr>
            <w:tcW w:w="1418" w:type="dxa"/>
            <w:tcMar>
              <w:top w:w="80" w:type="dxa"/>
              <w:left w:w="100" w:type="dxa"/>
              <w:bottom w:w="80" w:type="dxa"/>
              <w:right w:w="100" w:type="dxa"/>
            </w:tcMar>
          </w:tcPr>
          <w:p w14:paraId="5CF2E3B2" w14:textId="77777777" w:rsidR="00B01618" w:rsidRDefault="00000000">
            <w:pPr>
              <w:spacing w:before="60" w:after="60"/>
            </w:pPr>
            <w:r>
              <w:rPr>
                <w:sz w:val="19"/>
                <w:szCs w:val="19"/>
              </w:rPr>
              <w:t>10 machines</w:t>
            </w:r>
          </w:p>
        </w:tc>
        <w:tc>
          <w:tcPr>
            <w:tcW w:w="2126" w:type="dxa"/>
            <w:tcMar>
              <w:top w:w="80" w:type="dxa"/>
              <w:left w:w="100" w:type="dxa"/>
              <w:bottom w:w="80" w:type="dxa"/>
              <w:right w:w="100" w:type="dxa"/>
            </w:tcMar>
          </w:tcPr>
          <w:p w14:paraId="6D161374" w14:textId="77777777" w:rsidR="00B01618" w:rsidRDefault="00000000">
            <w:pPr>
              <w:spacing w:before="60" w:after="60"/>
            </w:pPr>
            <w:r>
              <w:rPr>
                <w:sz w:val="19"/>
                <w:szCs w:val="19"/>
              </w:rPr>
              <w:t>Manual</w:t>
            </w:r>
          </w:p>
        </w:tc>
        <w:tc>
          <w:tcPr>
            <w:tcW w:w="4961" w:type="dxa"/>
            <w:tcMar>
              <w:top w:w="80" w:type="dxa"/>
              <w:left w:w="100" w:type="dxa"/>
              <w:bottom w:w="80" w:type="dxa"/>
              <w:right w:w="100" w:type="dxa"/>
            </w:tcMar>
          </w:tcPr>
          <w:p w14:paraId="02F549A6" w14:textId="77777777" w:rsidR="00B01618" w:rsidRDefault="00000000">
            <w:pPr>
              <w:spacing w:before="60" w:after="60"/>
            </w:pPr>
            <w:r>
              <w:rPr>
                <w:sz w:val="19"/>
                <w:szCs w:val="19"/>
              </w:rPr>
              <w:t>MES → SFC API write-back on production run completion</w:t>
            </w:r>
          </w:p>
        </w:tc>
      </w:tr>
      <w:tr w:rsidR="00B01618" w14:paraId="255423C4" w14:textId="77777777" w:rsidTr="00BF2896">
        <w:tblPrEx>
          <w:tblCellMar>
            <w:top w:w="0" w:type="dxa"/>
            <w:bottom w:w="0" w:type="dxa"/>
          </w:tblCellMar>
        </w:tblPrEx>
        <w:tc>
          <w:tcPr>
            <w:tcW w:w="1271" w:type="dxa"/>
            <w:tcMar>
              <w:top w:w="80" w:type="dxa"/>
              <w:left w:w="100" w:type="dxa"/>
              <w:bottom w:w="80" w:type="dxa"/>
              <w:right w:w="100" w:type="dxa"/>
            </w:tcMar>
          </w:tcPr>
          <w:p w14:paraId="6955A267" w14:textId="77777777" w:rsidR="00B01618" w:rsidRDefault="00000000">
            <w:pPr>
              <w:spacing w:before="60" w:after="60"/>
            </w:pPr>
            <w:r>
              <w:rPr>
                <w:sz w:val="19"/>
                <w:szCs w:val="19"/>
              </w:rPr>
              <w:t>Quilting (3)</w:t>
            </w:r>
          </w:p>
        </w:tc>
        <w:tc>
          <w:tcPr>
            <w:tcW w:w="1418" w:type="dxa"/>
            <w:tcMar>
              <w:top w:w="80" w:type="dxa"/>
              <w:left w:w="100" w:type="dxa"/>
              <w:bottom w:w="80" w:type="dxa"/>
              <w:right w:w="100" w:type="dxa"/>
            </w:tcMar>
          </w:tcPr>
          <w:p w14:paraId="15442C07" w14:textId="77777777" w:rsidR="00B01618" w:rsidRDefault="00000000">
            <w:pPr>
              <w:spacing w:before="60" w:after="60"/>
            </w:pPr>
            <w:r>
              <w:rPr>
                <w:sz w:val="19"/>
                <w:szCs w:val="19"/>
                <w:highlight w:val="yellow"/>
              </w:rPr>
              <w:t>—</w:t>
            </w:r>
          </w:p>
        </w:tc>
        <w:tc>
          <w:tcPr>
            <w:tcW w:w="2126" w:type="dxa"/>
            <w:tcMar>
              <w:top w:w="80" w:type="dxa"/>
              <w:left w:w="100" w:type="dxa"/>
              <w:bottom w:w="80" w:type="dxa"/>
              <w:right w:w="100" w:type="dxa"/>
            </w:tcMar>
          </w:tcPr>
          <w:p w14:paraId="7359BD84" w14:textId="77777777" w:rsidR="00B01618" w:rsidRDefault="00000000">
            <w:pPr>
              <w:spacing w:before="60" w:after="60"/>
            </w:pPr>
            <w:r>
              <w:rPr>
                <w:sz w:val="19"/>
                <w:szCs w:val="19"/>
              </w:rPr>
              <w:t>CSV export (stub)</w:t>
            </w:r>
          </w:p>
        </w:tc>
        <w:tc>
          <w:tcPr>
            <w:tcW w:w="4961" w:type="dxa"/>
            <w:tcMar>
              <w:top w:w="80" w:type="dxa"/>
              <w:left w:w="100" w:type="dxa"/>
              <w:bottom w:w="80" w:type="dxa"/>
              <w:right w:w="100" w:type="dxa"/>
            </w:tcMar>
          </w:tcPr>
          <w:p w14:paraId="54C85AE7" w14:textId="77777777" w:rsidR="00B01618" w:rsidRDefault="00000000">
            <w:pPr>
              <w:spacing w:before="60" w:after="60"/>
            </w:pPr>
            <w:r>
              <w:rPr>
                <w:sz w:val="19"/>
                <w:szCs w:val="19"/>
              </w:rPr>
              <w:t>MES → SFC API write-back replacing CSV stub</w:t>
            </w:r>
          </w:p>
        </w:tc>
      </w:tr>
      <w:tr w:rsidR="00B01618" w14:paraId="3ED82D17" w14:textId="77777777" w:rsidTr="00BF2896">
        <w:tblPrEx>
          <w:tblCellMar>
            <w:top w:w="0" w:type="dxa"/>
            <w:bottom w:w="0" w:type="dxa"/>
          </w:tblCellMar>
        </w:tblPrEx>
        <w:tc>
          <w:tcPr>
            <w:tcW w:w="1271" w:type="dxa"/>
            <w:tcMar>
              <w:top w:w="80" w:type="dxa"/>
              <w:left w:w="100" w:type="dxa"/>
              <w:bottom w:w="80" w:type="dxa"/>
              <w:right w:w="100" w:type="dxa"/>
            </w:tcMar>
          </w:tcPr>
          <w:p w14:paraId="27ECD37F" w14:textId="77777777" w:rsidR="00B01618" w:rsidRDefault="00000000">
            <w:pPr>
              <w:spacing w:before="60" w:after="60"/>
            </w:pPr>
            <w:r>
              <w:rPr>
                <w:sz w:val="19"/>
                <w:szCs w:val="19"/>
              </w:rPr>
              <w:t>Tape Edge (4)</w:t>
            </w:r>
          </w:p>
        </w:tc>
        <w:tc>
          <w:tcPr>
            <w:tcW w:w="1418" w:type="dxa"/>
            <w:tcMar>
              <w:top w:w="80" w:type="dxa"/>
              <w:left w:w="100" w:type="dxa"/>
              <w:bottom w:w="80" w:type="dxa"/>
              <w:right w:w="100" w:type="dxa"/>
            </w:tcMar>
          </w:tcPr>
          <w:p w14:paraId="437A78F1" w14:textId="77777777" w:rsidR="00B01618" w:rsidRDefault="00000000">
            <w:pPr>
              <w:spacing w:before="60" w:after="60"/>
            </w:pPr>
            <w:r>
              <w:rPr>
                <w:sz w:val="19"/>
                <w:szCs w:val="19"/>
              </w:rPr>
              <w:t>TE-01 to TE-11</w:t>
            </w:r>
          </w:p>
        </w:tc>
        <w:tc>
          <w:tcPr>
            <w:tcW w:w="2126" w:type="dxa"/>
            <w:tcMar>
              <w:top w:w="80" w:type="dxa"/>
              <w:left w:w="100" w:type="dxa"/>
              <w:bottom w:w="80" w:type="dxa"/>
              <w:right w:w="100" w:type="dxa"/>
            </w:tcMar>
          </w:tcPr>
          <w:p w14:paraId="4C7E8C2B" w14:textId="77777777" w:rsidR="00B01618" w:rsidRDefault="00000000">
            <w:pPr>
              <w:spacing w:before="60" w:after="60"/>
            </w:pPr>
            <w:r>
              <w:rPr>
                <w:sz w:val="19"/>
                <w:szCs w:val="19"/>
              </w:rPr>
              <w:t>Scan count only</w:t>
            </w:r>
          </w:p>
        </w:tc>
        <w:tc>
          <w:tcPr>
            <w:tcW w:w="4961" w:type="dxa"/>
            <w:tcMar>
              <w:top w:w="80" w:type="dxa"/>
              <w:left w:w="100" w:type="dxa"/>
              <w:bottom w:w="80" w:type="dxa"/>
              <w:right w:w="100" w:type="dxa"/>
            </w:tcMar>
          </w:tcPr>
          <w:p w14:paraId="2DD42690" w14:textId="77777777" w:rsidR="00B01618" w:rsidRDefault="00000000">
            <w:pPr>
              <w:spacing w:before="60" w:after="60"/>
            </w:pPr>
            <w:r>
              <w:rPr>
                <w:sz w:val="19"/>
                <w:szCs w:val="19"/>
              </w:rPr>
              <w:t>MES → SFC API write-back on confirmed scan</w:t>
            </w:r>
          </w:p>
        </w:tc>
      </w:tr>
    </w:tbl>
    <w:p w14:paraId="0646AFD7" w14:textId="77777777" w:rsidR="00B01618" w:rsidRDefault="00B01618">
      <w:pPr>
        <w:spacing w:before="80"/>
      </w:pPr>
    </w:p>
    <w:p w14:paraId="60D46E78" w14:textId="77777777" w:rsidR="00B01618" w:rsidRDefault="00000000">
      <w:pPr>
        <w:spacing w:before="60" w:after="60"/>
      </w:pPr>
      <w:r>
        <w:t>For each stage, on completion of a production run, the MES must call the above SFC APIs to execute the full WO cycle in Ramco. The exact trigger point per stage and the API call sequence will be defined in Phase 2 design, once Kalanjiyam confirms feasibility and API schemas are available.</w:t>
      </w:r>
    </w:p>
    <w:p w14:paraId="509EE79B" w14:textId="77777777" w:rsidR="00B01618" w:rsidRDefault="00B01618">
      <w:pPr>
        <w:spacing w:before="80"/>
      </w:pPr>
    </w:p>
    <w:p w14:paraId="7B28025E" w14:textId="77777777" w:rsidR="00B01618" w:rsidRDefault="00000000">
      <w:pPr>
        <w:pStyle w:val="Heading1"/>
        <w:spacing w:before="280" w:after="100"/>
      </w:pPr>
      <w:r>
        <w:rPr>
          <w:b/>
          <w:bCs/>
          <w:color w:val="1F3864"/>
          <w:sz w:val="26"/>
          <w:szCs w:val="26"/>
        </w:rPr>
        <w:lastRenderedPageBreak/>
        <w:t>4. Out of Scope</w:t>
      </w:r>
    </w:p>
    <w:p w14:paraId="48EFC0EA" w14:textId="77777777" w:rsidR="00B01618" w:rsidRDefault="00B0161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9"/>
        <w:gridCol w:w="5821"/>
      </w:tblGrid>
      <w:tr w:rsidR="00B01618" w14:paraId="56AE7D7A" w14:textId="77777777" w:rsidTr="00BF2896">
        <w:tblPrEx>
          <w:tblCellMar>
            <w:top w:w="0" w:type="dxa"/>
            <w:bottom w:w="0" w:type="dxa"/>
          </w:tblCellMar>
        </w:tblPrEx>
        <w:trPr>
          <w:tblHeader/>
        </w:trPr>
        <w:tc>
          <w:tcPr>
            <w:tcW w:w="3539" w:type="dxa"/>
            <w:shd w:val="clear" w:color="auto" w:fill="D6E4F0"/>
            <w:tcMar>
              <w:top w:w="80" w:type="dxa"/>
              <w:left w:w="100" w:type="dxa"/>
              <w:bottom w:w="80" w:type="dxa"/>
              <w:right w:w="100" w:type="dxa"/>
            </w:tcMar>
          </w:tcPr>
          <w:p w14:paraId="30C8B916" w14:textId="77777777" w:rsidR="00B01618" w:rsidRDefault="00000000">
            <w:pPr>
              <w:spacing w:before="60" w:after="60"/>
            </w:pPr>
            <w:r>
              <w:rPr>
                <w:b/>
                <w:bCs/>
                <w:sz w:val="19"/>
                <w:szCs w:val="19"/>
              </w:rPr>
              <w:t>Out of Scope</w:t>
            </w:r>
          </w:p>
        </w:tc>
        <w:tc>
          <w:tcPr>
            <w:tcW w:w="5821" w:type="dxa"/>
            <w:shd w:val="clear" w:color="auto" w:fill="D6E4F0"/>
            <w:tcMar>
              <w:top w:w="80" w:type="dxa"/>
              <w:left w:w="100" w:type="dxa"/>
              <w:bottom w:w="80" w:type="dxa"/>
              <w:right w:w="100" w:type="dxa"/>
            </w:tcMar>
          </w:tcPr>
          <w:p w14:paraId="1F713FEF" w14:textId="77777777" w:rsidR="00B01618" w:rsidRDefault="00000000">
            <w:pPr>
              <w:spacing w:before="60" w:after="60"/>
            </w:pPr>
            <w:r>
              <w:rPr>
                <w:b/>
                <w:bCs/>
                <w:sz w:val="19"/>
                <w:szCs w:val="19"/>
              </w:rPr>
              <w:t>Reason</w:t>
            </w:r>
          </w:p>
        </w:tc>
      </w:tr>
      <w:tr w:rsidR="00B01618" w14:paraId="58FD2432" w14:textId="77777777" w:rsidTr="00BF2896">
        <w:tblPrEx>
          <w:tblCellMar>
            <w:top w:w="0" w:type="dxa"/>
            <w:bottom w:w="0" w:type="dxa"/>
          </w:tblCellMar>
        </w:tblPrEx>
        <w:tc>
          <w:tcPr>
            <w:tcW w:w="3539" w:type="dxa"/>
            <w:tcMar>
              <w:top w:w="80" w:type="dxa"/>
              <w:left w:w="100" w:type="dxa"/>
              <w:bottom w:w="80" w:type="dxa"/>
              <w:right w:w="100" w:type="dxa"/>
            </w:tcMar>
          </w:tcPr>
          <w:p w14:paraId="7F10A05C" w14:textId="77777777" w:rsidR="00B01618" w:rsidRDefault="00000000">
            <w:pPr>
              <w:spacing w:before="60" w:after="60"/>
            </w:pPr>
            <w:r>
              <w:rPr>
                <w:sz w:val="19"/>
                <w:szCs w:val="19"/>
              </w:rPr>
              <w:t>API payload structure and field mapping</w:t>
            </w:r>
          </w:p>
        </w:tc>
        <w:tc>
          <w:tcPr>
            <w:tcW w:w="5821" w:type="dxa"/>
            <w:tcMar>
              <w:top w:w="80" w:type="dxa"/>
              <w:left w:w="100" w:type="dxa"/>
              <w:bottom w:w="80" w:type="dxa"/>
              <w:right w:w="100" w:type="dxa"/>
            </w:tcMar>
          </w:tcPr>
          <w:p w14:paraId="3BE4F0F8" w14:textId="77777777" w:rsidR="00B01618" w:rsidRDefault="00000000">
            <w:pPr>
              <w:spacing w:before="60" w:after="60"/>
            </w:pPr>
            <w:r>
              <w:rPr>
                <w:sz w:val="19"/>
                <w:szCs w:val="19"/>
              </w:rPr>
              <w:t>Dependent on Kalanjiyam feasibility response and Ramco API schema — to be defined in Phase 2</w:t>
            </w:r>
          </w:p>
        </w:tc>
      </w:tr>
      <w:tr w:rsidR="00B01618" w14:paraId="31152CB1" w14:textId="77777777" w:rsidTr="00BF2896">
        <w:tblPrEx>
          <w:tblCellMar>
            <w:top w:w="0" w:type="dxa"/>
            <w:bottom w:w="0" w:type="dxa"/>
          </w:tblCellMar>
        </w:tblPrEx>
        <w:tc>
          <w:tcPr>
            <w:tcW w:w="3539" w:type="dxa"/>
            <w:tcMar>
              <w:top w:w="80" w:type="dxa"/>
              <w:left w:w="100" w:type="dxa"/>
              <w:bottom w:w="80" w:type="dxa"/>
              <w:right w:w="100" w:type="dxa"/>
            </w:tcMar>
          </w:tcPr>
          <w:p w14:paraId="026284A9" w14:textId="77777777" w:rsidR="00B01618" w:rsidRDefault="00000000">
            <w:pPr>
              <w:spacing w:before="60" w:after="60"/>
            </w:pPr>
            <w:r>
              <w:rPr>
                <w:sz w:val="19"/>
                <w:szCs w:val="19"/>
              </w:rPr>
              <w:t>Error handling and retry logic</w:t>
            </w:r>
          </w:p>
        </w:tc>
        <w:tc>
          <w:tcPr>
            <w:tcW w:w="5821" w:type="dxa"/>
            <w:tcMar>
              <w:top w:w="80" w:type="dxa"/>
              <w:left w:w="100" w:type="dxa"/>
              <w:bottom w:w="80" w:type="dxa"/>
              <w:right w:w="100" w:type="dxa"/>
            </w:tcMar>
          </w:tcPr>
          <w:p w14:paraId="1887E97D" w14:textId="77777777" w:rsidR="00B01618" w:rsidRDefault="00000000">
            <w:pPr>
              <w:spacing w:before="60" w:after="60"/>
            </w:pPr>
            <w:r>
              <w:rPr>
                <w:sz w:val="19"/>
                <w:szCs w:val="19"/>
              </w:rPr>
              <w:t>To be defined once API schemas are confirmed</w:t>
            </w:r>
          </w:p>
        </w:tc>
      </w:tr>
      <w:tr w:rsidR="00B01618" w14:paraId="4D55A695" w14:textId="77777777" w:rsidTr="00BF2896">
        <w:tblPrEx>
          <w:tblCellMar>
            <w:top w:w="0" w:type="dxa"/>
            <w:bottom w:w="0" w:type="dxa"/>
          </w:tblCellMar>
        </w:tblPrEx>
        <w:tc>
          <w:tcPr>
            <w:tcW w:w="3539" w:type="dxa"/>
            <w:tcMar>
              <w:top w:w="80" w:type="dxa"/>
              <w:left w:w="100" w:type="dxa"/>
              <w:bottom w:w="80" w:type="dxa"/>
              <w:right w:w="100" w:type="dxa"/>
            </w:tcMar>
          </w:tcPr>
          <w:p w14:paraId="14604956" w14:textId="77777777" w:rsidR="00B01618" w:rsidRDefault="00000000">
            <w:pPr>
              <w:spacing w:before="60" w:after="60"/>
            </w:pPr>
            <w:r>
              <w:rPr>
                <w:sz w:val="19"/>
                <w:szCs w:val="19"/>
              </w:rPr>
              <w:t>WO linkage method</w:t>
            </w:r>
          </w:p>
        </w:tc>
        <w:tc>
          <w:tcPr>
            <w:tcW w:w="5821" w:type="dxa"/>
            <w:tcMar>
              <w:top w:w="80" w:type="dxa"/>
              <w:left w:w="100" w:type="dxa"/>
              <w:bottom w:w="80" w:type="dxa"/>
              <w:right w:w="100" w:type="dxa"/>
            </w:tcMar>
          </w:tcPr>
          <w:p w14:paraId="4CEA2336" w14:textId="77777777" w:rsidR="00B01618" w:rsidRDefault="00000000">
            <w:pPr>
              <w:spacing w:before="60" w:after="60"/>
            </w:pPr>
            <w:r>
              <w:rPr>
                <w:sz w:val="19"/>
                <w:szCs w:val="19"/>
              </w:rPr>
              <w:t>Kalanjiyam to propose how WO number is resolved at the time of production event</w:t>
            </w:r>
          </w:p>
        </w:tc>
      </w:tr>
      <w:tr w:rsidR="00B01618" w14:paraId="467018D1" w14:textId="77777777" w:rsidTr="00BF2896">
        <w:tblPrEx>
          <w:tblCellMar>
            <w:top w:w="0" w:type="dxa"/>
            <w:bottom w:w="0" w:type="dxa"/>
          </w:tblCellMar>
        </w:tblPrEx>
        <w:tc>
          <w:tcPr>
            <w:tcW w:w="3539" w:type="dxa"/>
            <w:tcMar>
              <w:top w:w="80" w:type="dxa"/>
              <w:left w:w="100" w:type="dxa"/>
              <w:bottom w:w="80" w:type="dxa"/>
              <w:right w:w="100" w:type="dxa"/>
            </w:tcMar>
          </w:tcPr>
          <w:p w14:paraId="69E48568" w14:textId="77777777" w:rsidR="00B01618" w:rsidRDefault="00000000">
            <w:pPr>
              <w:spacing w:before="60" w:after="60"/>
            </w:pPr>
            <w:r>
              <w:rPr>
                <w:sz w:val="19"/>
                <w:szCs w:val="19"/>
              </w:rPr>
              <w:t>UI, display board, reporting</w:t>
            </w:r>
          </w:p>
        </w:tc>
        <w:tc>
          <w:tcPr>
            <w:tcW w:w="5821" w:type="dxa"/>
            <w:tcMar>
              <w:top w:w="80" w:type="dxa"/>
              <w:left w:w="100" w:type="dxa"/>
              <w:bottom w:w="80" w:type="dxa"/>
              <w:right w:w="100" w:type="dxa"/>
            </w:tcMar>
          </w:tcPr>
          <w:p w14:paraId="7EDEDA78" w14:textId="77777777" w:rsidR="00B01618" w:rsidRDefault="00000000">
            <w:pPr>
              <w:spacing w:before="60" w:after="60"/>
            </w:pPr>
            <w:r>
              <w:rPr>
                <w:sz w:val="19"/>
                <w:szCs w:val="19"/>
              </w:rPr>
              <w:t>Design validated internally via POC v2.4. Build scope to be decided separately.</w:t>
            </w:r>
          </w:p>
        </w:tc>
      </w:tr>
      <w:tr w:rsidR="00B01618" w14:paraId="7C1831B2" w14:textId="77777777" w:rsidTr="00BF2896">
        <w:tblPrEx>
          <w:tblCellMar>
            <w:top w:w="0" w:type="dxa"/>
            <w:bottom w:w="0" w:type="dxa"/>
          </w:tblCellMar>
        </w:tblPrEx>
        <w:tc>
          <w:tcPr>
            <w:tcW w:w="3539" w:type="dxa"/>
            <w:tcMar>
              <w:top w:w="80" w:type="dxa"/>
              <w:left w:w="100" w:type="dxa"/>
              <w:bottom w:w="80" w:type="dxa"/>
              <w:right w:w="100" w:type="dxa"/>
            </w:tcMar>
          </w:tcPr>
          <w:p w14:paraId="5574E111" w14:textId="77777777" w:rsidR="00B01618" w:rsidRDefault="00000000">
            <w:pPr>
              <w:spacing w:before="60" w:after="60"/>
            </w:pPr>
            <w:r>
              <w:rPr>
                <w:sz w:val="19"/>
                <w:szCs w:val="19"/>
              </w:rPr>
              <w:t>QC Pass ERP update</w:t>
            </w:r>
          </w:p>
        </w:tc>
        <w:tc>
          <w:tcPr>
            <w:tcW w:w="5821" w:type="dxa"/>
            <w:tcMar>
              <w:top w:w="80" w:type="dxa"/>
              <w:left w:w="100" w:type="dxa"/>
              <w:bottom w:w="80" w:type="dxa"/>
              <w:right w:w="100" w:type="dxa"/>
            </w:tcMar>
          </w:tcPr>
          <w:p w14:paraId="7FEB2C87" w14:textId="77777777" w:rsidR="00B01618" w:rsidRDefault="00000000">
            <w:pPr>
              <w:spacing w:before="60" w:after="60"/>
            </w:pPr>
            <w:r>
              <w:rPr>
                <w:sz w:val="19"/>
                <w:szCs w:val="19"/>
              </w:rPr>
              <w:t>Handled via existing O-18 mechanism — not in scope</w:t>
            </w:r>
          </w:p>
        </w:tc>
      </w:tr>
      <w:tr w:rsidR="00B01618" w14:paraId="24F6A297" w14:textId="77777777" w:rsidTr="00BF2896">
        <w:tblPrEx>
          <w:tblCellMar>
            <w:top w:w="0" w:type="dxa"/>
            <w:bottom w:w="0" w:type="dxa"/>
          </w:tblCellMar>
        </w:tblPrEx>
        <w:tc>
          <w:tcPr>
            <w:tcW w:w="3539" w:type="dxa"/>
            <w:tcMar>
              <w:top w:w="80" w:type="dxa"/>
              <w:left w:w="100" w:type="dxa"/>
              <w:bottom w:w="80" w:type="dxa"/>
              <w:right w:w="100" w:type="dxa"/>
            </w:tcMar>
          </w:tcPr>
          <w:p w14:paraId="47378734" w14:textId="77777777" w:rsidR="00B01618" w:rsidRDefault="00000000">
            <w:pPr>
              <w:spacing w:before="60" w:after="60"/>
            </w:pPr>
            <w:r>
              <w:rPr>
                <w:sz w:val="19"/>
                <w:szCs w:val="19"/>
              </w:rPr>
              <w:t>Despatch / pack slip</w:t>
            </w:r>
          </w:p>
        </w:tc>
        <w:tc>
          <w:tcPr>
            <w:tcW w:w="5821" w:type="dxa"/>
            <w:tcMar>
              <w:top w:w="80" w:type="dxa"/>
              <w:left w:w="100" w:type="dxa"/>
              <w:bottom w:w="80" w:type="dxa"/>
              <w:right w:w="100" w:type="dxa"/>
            </w:tcMar>
          </w:tcPr>
          <w:p w14:paraId="384AB460" w14:textId="77777777" w:rsidR="00B01618" w:rsidRDefault="00000000">
            <w:pPr>
              <w:spacing w:before="60" w:after="60"/>
            </w:pPr>
            <w:r>
              <w:rPr>
                <w:sz w:val="19"/>
                <w:szCs w:val="19"/>
              </w:rPr>
              <w:t>Live in Ramco mobile app — not in scope</w:t>
            </w:r>
          </w:p>
        </w:tc>
      </w:tr>
    </w:tbl>
    <w:p w14:paraId="30892ED3" w14:textId="77777777" w:rsidR="00B01618" w:rsidRDefault="00000000">
      <w:pPr>
        <w:pStyle w:val="Heading1"/>
        <w:spacing w:before="280" w:after="100"/>
      </w:pPr>
      <w:r>
        <w:rPr>
          <w:b/>
          <w:bCs/>
          <w:color w:val="1F3864"/>
          <w:sz w:val="26"/>
          <w:szCs w:val="26"/>
        </w:rPr>
        <w:t>5. Open Items</w:t>
      </w:r>
    </w:p>
    <w:p w14:paraId="19D62C3F" w14:textId="77777777" w:rsidR="00B01618" w:rsidRDefault="00B0161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0"/>
        <w:gridCol w:w="1720"/>
        <w:gridCol w:w="2400"/>
      </w:tblGrid>
      <w:tr w:rsidR="00B01618" w14:paraId="7CCBB8A4" w14:textId="77777777" w:rsidTr="00BF2896">
        <w:tblPrEx>
          <w:tblCellMar>
            <w:top w:w="0" w:type="dxa"/>
            <w:bottom w:w="0" w:type="dxa"/>
          </w:tblCellMar>
        </w:tblPrEx>
        <w:trPr>
          <w:tblHeader/>
        </w:trPr>
        <w:tc>
          <w:tcPr>
            <w:tcW w:w="5240" w:type="dxa"/>
            <w:shd w:val="clear" w:color="auto" w:fill="D6E4F0"/>
            <w:tcMar>
              <w:top w:w="80" w:type="dxa"/>
              <w:left w:w="100" w:type="dxa"/>
              <w:bottom w:w="80" w:type="dxa"/>
              <w:right w:w="100" w:type="dxa"/>
            </w:tcMar>
          </w:tcPr>
          <w:p w14:paraId="486C2D53" w14:textId="77777777" w:rsidR="00B01618" w:rsidRDefault="00000000">
            <w:pPr>
              <w:spacing w:before="60" w:after="60"/>
            </w:pPr>
            <w:r>
              <w:rPr>
                <w:b/>
                <w:bCs/>
                <w:sz w:val="19"/>
                <w:szCs w:val="19"/>
              </w:rPr>
              <w:t>Item</w:t>
            </w:r>
          </w:p>
        </w:tc>
        <w:tc>
          <w:tcPr>
            <w:tcW w:w="1720" w:type="dxa"/>
            <w:shd w:val="clear" w:color="auto" w:fill="D6E4F0"/>
            <w:tcMar>
              <w:top w:w="80" w:type="dxa"/>
              <w:left w:w="100" w:type="dxa"/>
              <w:bottom w:w="80" w:type="dxa"/>
              <w:right w:w="100" w:type="dxa"/>
            </w:tcMar>
          </w:tcPr>
          <w:p w14:paraId="7913AB15" w14:textId="77777777" w:rsidR="00B01618" w:rsidRDefault="00000000">
            <w:pPr>
              <w:spacing w:before="60" w:after="60"/>
            </w:pPr>
            <w:r>
              <w:rPr>
                <w:b/>
                <w:bCs/>
                <w:sz w:val="19"/>
                <w:szCs w:val="19"/>
              </w:rPr>
              <w:t>Owner</w:t>
            </w:r>
          </w:p>
        </w:tc>
        <w:tc>
          <w:tcPr>
            <w:tcW w:w="2400" w:type="dxa"/>
            <w:shd w:val="clear" w:color="auto" w:fill="D6E4F0"/>
            <w:tcMar>
              <w:top w:w="80" w:type="dxa"/>
              <w:left w:w="100" w:type="dxa"/>
              <w:bottom w:w="80" w:type="dxa"/>
              <w:right w:w="100" w:type="dxa"/>
            </w:tcMar>
          </w:tcPr>
          <w:p w14:paraId="02972DFB" w14:textId="77777777" w:rsidR="00B01618" w:rsidRDefault="00000000">
            <w:pPr>
              <w:spacing w:before="60" w:after="60"/>
            </w:pPr>
            <w:r>
              <w:rPr>
                <w:b/>
                <w:bCs/>
                <w:sz w:val="19"/>
                <w:szCs w:val="19"/>
              </w:rPr>
              <w:t>Required Before</w:t>
            </w:r>
          </w:p>
        </w:tc>
      </w:tr>
      <w:tr w:rsidR="00B01618" w14:paraId="2FDC78CC" w14:textId="77777777" w:rsidTr="00BF2896">
        <w:tblPrEx>
          <w:tblCellMar>
            <w:top w:w="0" w:type="dxa"/>
            <w:bottom w:w="0" w:type="dxa"/>
          </w:tblCellMar>
        </w:tblPrEx>
        <w:tc>
          <w:tcPr>
            <w:tcW w:w="5240" w:type="dxa"/>
            <w:tcMar>
              <w:top w:w="80" w:type="dxa"/>
              <w:left w:w="100" w:type="dxa"/>
              <w:bottom w:w="80" w:type="dxa"/>
              <w:right w:w="100" w:type="dxa"/>
            </w:tcMar>
          </w:tcPr>
          <w:p w14:paraId="2E777034" w14:textId="77777777" w:rsidR="00B01618" w:rsidRDefault="00000000">
            <w:pPr>
              <w:spacing w:before="60" w:after="60"/>
            </w:pPr>
            <w:r>
              <w:rPr>
                <w:sz w:val="19"/>
                <w:szCs w:val="19"/>
              </w:rPr>
              <w:t>Confirm MES can make authenticated POST calls to Ramco MAGNA SFC APIs</w:t>
            </w:r>
          </w:p>
        </w:tc>
        <w:tc>
          <w:tcPr>
            <w:tcW w:w="1720" w:type="dxa"/>
            <w:tcMar>
              <w:top w:w="80" w:type="dxa"/>
              <w:left w:w="100" w:type="dxa"/>
              <w:bottom w:w="80" w:type="dxa"/>
              <w:right w:w="100" w:type="dxa"/>
            </w:tcMar>
          </w:tcPr>
          <w:p w14:paraId="371858C7" w14:textId="77777777" w:rsidR="00B01618" w:rsidRDefault="00000000">
            <w:pPr>
              <w:spacing w:before="60" w:after="60"/>
            </w:pPr>
            <w:r>
              <w:rPr>
                <w:sz w:val="19"/>
                <w:szCs w:val="19"/>
              </w:rPr>
              <w:t>Kalanjiyam</w:t>
            </w:r>
          </w:p>
        </w:tc>
        <w:tc>
          <w:tcPr>
            <w:tcW w:w="2400" w:type="dxa"/>
            <w:tcMar>
              <w:top w:w="80" w:type="dxa"/>
              <w:left w:w="100" w:type="dxa"/>
              <w:bottom w:w="80" w:type="dxa"/>
              <w:right w:w="100" w:type="dxa"/>
            </w:tcMar>
          </w:tcPr>
          <w:p w14:paraId="3C12949F" w14:textId="77777777" w:rsidR="00B01618" w:rsidRDefault="00000000">
            <w:pPr>
              <w:spacing w:before="60" w:after="60"/>
            </w:pPr>
            <w:r>
              <w:rPr>
                <w:sz w:val="19"/>
                <w:szCs w:val="19"/>
              </w:rPr>
              <w:t>Feasibility response</w:t>
            </w:r>
          </w:p>
        </w:tc>
      </w:tr>
      <w:tr w:rsidR="00B01618" w14:paraId="5192C6D9" w14:textId="77777777" w:rsidTr="00BF2896">
        <w:tblPrEx>
          <w:tblCellMar>
            <w:top w:w="0" w:type="dxa"/>
            <w:bottom w:w="0" w:type="dxa"/>
          </w:tblCellMar>
        </w:tblPrEx>
        <w:tc>
          <w:tcPr>
            <w:tcW w:w="5240" w:type="dxa"/>
            <w:tcMar>
              <w:top w:w="80" w:type="dxa"/>
              <w:left w:w="100" w:type="dxa"/>
              <w:bottom w:w="80" w:type="dxa"/>
              <w:right w:w="100" w:type="dxa"/>
            </w:tcMar>
          </w:tcPr>
          <w:p w14:paraId="3812E634" w14:textId="77777777" w:rsidR="00B01618" w:rsidRDefault="00000000">
            <w:pPr>
              <w:spacing w:before="60" w:after="60"/>
            </w:pPr>
            <w:r>
              <w:rPr>
                <w:sz w:val="19"/>
                <w:szCs w:val="19"/>
              </w:rPr>
              <w:t>Confirm WO number availability in MES at time of production event — and proposed resolution method</w:t>
            </w:r>
          </w:p>
        </w:tc>
        <w:tc>
          <w:tcPr>
            <w:tcW w:w="1720" w:type="dxa"/>
            <w:tcMar>
              <w:top w:w="80" w:type="dxa"/>
              <w:left w:w="100" w:type="dxa"/>
              <w:bottom w:w="80" w:type="dxa"/>
              <w:right w:w="100" w:type="dxa"/>
            </w:tcMar>
          </w:tcPr>
          <w:p w14:paraId="4816264B" w14:textId="77777777" w:rsidR="00B01618" w:rsidRDefault="00000000">
            <w:pPr>
              <w:spacing w:before="60" w:after="60"/>
            </w:pPr>
            <w:r>
              <w:rPr>
                <w:sz w:val="19"/>
                <w:szCs w:val="19"/>
              </w:rPr>
              <w:t>Kalanjiyam</w:t>
            </w:r>
          </w:p>
        </w:tc>
        <w:tc>
          <w:tcPr>
            <w:tcW w:w="2400" w:type="dxa"/>
            <w:tcMar>
              <w:top w:w="80" w:type="dxa"/>
              <w:left w:w="100" w:type="dxa"/>
              <w:bottom w:w="80" w:type="dxa"/>
              <w:right w:w="100" w:type="dxa"/>
            </w:tcMar>
          </w:tcPr>
          <w:p w14:paraId="14C7D714" w14:textId="77777777" w:rsidR="00B01618" w:rsidRDefault="00000000">
            <w:pPr>
              <w:spacing w:before="60" w:after="60"/>
            </w:pPr>
            <w:r>
              <w:rPr>
                <w:sz w:val="19"/>
                <w:szCs w:val="19"/>
              </w:rPr>
              <w:t>Feasibility response</w:t>
            </w:r>
          </w:p>
        </w:tc>
      </w:tr>
      <w:tr w:rsidR="00B01618" w14:paraId="4EE852DE" w14:textId="77777777" w:rsidTr="00BF2896">
        <w:tblPrEx>
          <w:tblCellMar>
            <w:top w:w="0" w:type="dxa"/>
            <w:bottom w:w="0" w:type="dxa"/>
          </w:tblCellMar>
        </w:tblPrEx>
        <w:tc>
          <w:tcPr>
            <w:tcW w:w="5240" w:type="dxa"/>
            <w:tcMar>
              <w:top w:w="80" w:type="dxa"/>
              <w:left w:w="100" w:type="dxa"/>
              <w:bottom w:w="80" w:type="dxa"/>
              <w:right w:w="100" w:type="dxa"/>
            </w:tcMar>
          </w:tcPr>
          <w:p w14:paraId="06E34F99" w14:textId="77777777" w:rsidR="00B01618" w:rsidRDefault="00000000">
            <w:pPr>
              <w:spacing w:before="60" w:after="60"/>
            </w:pPr>
            <w:r>
              <w:rPr>
                <w:sz w:val="19"/>
                <w:szCs w:val="19"/>
              </w:rPr>
              <w:t>Ramco SFC API schemas (payload structure, mandatory fields, response format, error codes) for all five endpoints</w:t>
            </w:r>
          </w:p>
        </w:tc>
        <w:tc>
          <w:tcPr>
            <w:tcW w:w="1720" w:type="dxa"/>
            <w:tcMar>
              <w:top w:w="80" w:type="dxa"/>
              <w:left w:w="100" w:type="dxa"/>
              <w:bottom w:w="80" w:type="dxa"/>
              <w:right w:w="100" w:type="dxa"/>
            </w:tcMar>
          </w:tcPr>
          <w:p w14:paraId="59714F1C" w14:textId="77777777" w:rsidR="00B01618" w:rsidRDefault="00000000">
            <w:pPr>
              <w:spacing w:before="60" w:after="60"/>
            </w:pPr>
            <w:r>
              <w:rPr>
                <w:sz w:val="19"/>
                <w:szCs w:val="19"/>
              </w:rPr>
              <w:t>PEPS IT</w:t>
            </w:r>
          </w:p>
        </w:tc>
        <w:tc>
          <w:tcPr>
            <w:tcW w:w="2400" w:type="dxa"/>
            <w:tcMar>
              <w:top w:w="80" w:type="dxa"/>
              <w:left w:w="100" w:type="dxa"/>
              <w:bottom w:w="80" w:type="dxa"/>
              <w:right w:w="100" w:type="dxa"/>
            </w:tcMar>
          </w:tcPr>
          <w:p w14:paraId="6AF4DDA7" w14:textId="77777777" w:rsidR="00B01618" w:rsidRDefault="00000000">
            <w:pPr>
              <w:spacing w:before="60" w:after="60"/>
            </w:pPr>
            <w:r>
              <w:rPr>
                <w:sz w:val="19"/>
                <w:szCs w:val="19"/>
              </w:rPr>
              <w:t>Phase 2 design</w:t>
            </w:r>
          </w:p>
        </w:tc>
      </w:tr>
      <w:tr w:rsidR="00B01618" w14:paraId="63EE33CB" w14:textId="77777777" w:rsidTr="00BF2896">
        <w:tblPrEx>
          <w:tblCellMar>
            <w:top w:w="0" w:type="dxa"/>
            <w:bottom w:w="0" w:type="dxa"/>
          </w:tblCellMar>
        </w:tblPrEx>
        <w:tc>
          <w:tcPr>
            <w:tcW w:w="5240" w:type="dxa"/>
            <w:tcMar>
              <w:top w:w="80" w:type="dxa"/>
              <w:left w:w="100" w:type="dxa"/>
              <w:bottom w:w="80" w:type="dxa"/>
              <w:right w:w="100" w:type="dxa"/>
            </w:tcMar>
          </w:tcPr>
          <w:p w14:paraId="41BFEA96" w14:textId="77777777" w:rsidR="00B01618" w:rsidRDefault="00000000">
            <w:pPr>
              <w:spacing w:before="60" w:after="60"/>
            </w:pPr>
            <w:r>
              <w:rPr>
                <w:sz w:val="19"/>
                <w:szCs w:val="19"/>
              </w:rPr>
              <w:t>Authentication method and credentials for SFC API access from external system</w:t>
            </w:r>
          </w:p>
        </w:tc>
        <w:tc>
          <w:tcPr>
            <w:tcW w:w="1720" w:type="dxa"/>
            <w:tcMar>
              <w:top w:w="80" w:type="dxa"/>
              <w:left w:w="100" w:type="dxa"/>
              <w:bottom w:w="80" w:type="dxa"/>
              <w:right w:w="100" w:type="dxa"/>
            </w:tcMar>
          </w:tcPr>
          <w:p w14:paraId="7A975175" w14:textId="77777777" w:rsidR="00B01618" w:rsidRDefault="00000000">
            <w:pPr>
              <w:spacing w:before="60" w:after="60"/>
            </w:pPr>
            <w:r>
              <w:rPr>
                <w:sz w:val="19"/>
                <w:szCs w:val="19"/>
              </w:rPr>
              <w:t>PEPS IT</w:t>
            </w:r>
          </w:p>
        </w:tc>
        <w:tc>
          <w:tcPr>
            <w:tcW w:w="2400" w:type="dxa"/>
            <w:tcMar>
              <w:top w:w="80" w:type="dxa"/>
              <w:left w:w="100" w:type="dxa"/>
              <w:bottom w:w="80" w:type="dxa"/>
              <w:right w:w="100" w:type="dxa"/>
            </w:tcMar>
          </w:tcPr>
          <w:p w14:paraId="1A1CF4F6" w14:textId="77777777" w:rsidR="00B01618" w:rsidRDefault="00000000">
            <w:pPr>
              <w:spacing w:before="60" w:after="60"/>
            </w:pPr>
            <w:r>
              <w:rPr>
                <w:sz w:val="19"/>
                <w:szCs w:val="19"/>
              </w:rPr>
              <w:t>Phase 2 design</w:t>
            </w:r>
          </w:p>
        </w:tc>
      </w:tr>
      <w:tr w:rsidR="00B01618" w14:paraId="774493DF" w14:textId="77777777" w:rsidTr="00BF2896">
        <w:tblPrEx>
          <w:tblCellMar>
            <w:top w:w="0" w:type="dxa"/>
            <w:bottom w:w="0" w:type="dxa"/>
          </w:tblCellMar>
        </w:tblPrEx>
        <w:tc>
          <w:tcPr>
            <w:tcW w:w="5240" w:type="dxa"/>
            <w:tcMar>
              <w:top w:w="80" w:type="dxa"/>
              <w:left w:w="100" w:type="dxa"/>
              <w:bottom w:w="80" w:type="dxa"/>
              <w:right w:w="100" w:type="dxa"/>
            </w:tcMar>
          </w:tcPr>
          <w:p w14:paraId="4445D5F4" w14:textId="77777777" w:rsidR="00B01618" w:rsidRDefault="00000000">
            <w:pPr>
              <w:spacing w:before="60" w:after="60"/>
            </w:pPr>
            <w:r>
              <w:rPr>
                <w:sz w:val="19"/>
                <w:szCs w:val="19"/>
              </w:rPr>
              <w:t>Confirm BOM is correctly configured for backflush across all three stages</w:t>
            </w:r>
          </w:p>
        </w:tc>
        <w:tc>
          <w:tcPr>
            <w:tcW w:w="1720" w:type="dxa"/>
            <w:tcMar>
              <w:top w:w="80" w:type="dxa"/>
              <w:left w:w="100" w:type="dxa"/>
              <w:bottom w:w="80" w:type="dxa"/>
              <w:right w:w="100" w:type="dxa"/>
            </w:tcMar>
          </w:tcPr>
          <w:p w14:paraId="462DB800" w14:textId="77777777" w:rsidR="00B01618" w:rsidRDefault="00000000">
            <w:pPr>
              <w:spacing w:before="60" w:after="60"/>
            </w:pPr>
            <w:r>
              <w:rPr>
                <w:sz w:val="19"/>
                <w:szCs w:val="19"/>
              </w:rPr>
              <w:t>PEPS IT</w:t>
            </w:r>
          </w:p>
        </w:tc>
        <w:tc>
          <w:tcPr>
            <w:tcW w:w="2400" w:type="dxa"/>
            <w:tcMar>
              <w:top w:w="80" w:type="dxa"/>
              <w:left w:w="100" w:type="dxa"/>
              <w:bottom w:w="80" w:type="dxa"/>
              <w:right w:w="100" w:type="dxa"/>
            </w:tcMar>
          </w:tcPr>
          <w:p w14:paraId="62F8A0FA" w14:textId="77777777" w:rsidR="00B01618" w:rsidRDefault="00000000">
            <w:pPr>
              <w:spacing w:before="60" w:after="60"/>
            </w:pPr>
            <w:r>
              <w:rPr>
                <w:sz w:val="19"/>
                <w:szCs w:val="19"/>
              </w:rPr>
              <w:t>Phase 2 design</w:t>
            </w:r>
          </w:p>
        </w:tc>
      </w:tr>
    </w:tbl>
    <w:p w14:paraId="521B2F2D" w14:textId="77777777" w:rsidR="00B01618" w:rsidRDefault="00000000">
      <w:pPr>
        <w:pStyle w:val="Heading1"/>
        <w:spacing w:before="280" w:after="100"/>
      </w:pPr>
      <w:r>
        <w:rPr>
          <w:b/>
          <w:bCs/>
          <w:color w:val="1F3864"/>
          <w:sz w:val="26"/>
          <w:szCs w:val="26"/>
        </w:rPr>
        <w:t>6. Required Response from Kalanjiyam</w:t>
      </w:r>
    </w:p>
    <w:p w14:paraId="77EDB633" w14:textId="77777777" w:rsidR="00B01618" w:rsidRDefault="00B0161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1618" w14:paraId="72113390" w14:textId="77777777">
        <w:tblPrEx>
          <w:tblCellMar>
            <w:top w:w="0" w:type="dxa"/>
            <w:bottom w:w="0" w:type="dxa"/>
          </w:tblCellMar>
        </w:tblPrEx>
        <w:trPr>
          <w:tblHeader/>
        </w:trPr>
        <w:tc>
          <w:tcPr>
            <w:tcW w:w="9360" w:type="dxa"/>
            <w:shd w:val="clear" w:color="auto" w:fill="D6E4F0"/>
            <w:tcMar>
              <w:top w:w="80" w:type="dxa"/>
              <w:left w:w="100" w:type="dxa"/>
              <w:bottom w:w="80" w:type="dxa"/>
              <w:right w:w="100" w:type="dxa"/>
            </w:tcMar>
          </w:tcPr>
          <w:p w14:paraId="7573AF18" w14:textId="77777777" w:rsidR="00B01618" w:rsidRDefault="00000000">
            <w:pPr>
              <w:spacing w:before="60" w:after="60"/>
            </w:pPr>
            <w:r>
              <w:rPr>
                <w:b/>
                <w:bCs/>
                <w:sz w:val="19"/>
                <w:szCs w:val="19"/>
              </w:rPr>
              <w:t>Required from Kalanjiyam</w:t>
            </w:r>
          </w:p>
        </w:tc>
      </w:tr>
      <w:tr w:rsidR="00B01618" w14:paraId="63E255F6" w14:textId="77777777">
        <w:tblPrEx>
          <w:tblCellMar>
            <w:top w:w="0" w:type="dxa"/>
            <w:bottom w:w="0" w:type="dxa"/>
          </w:tblCellMar>
        </w:tblPrEx>
        <w:tc>
          <w:tcPr>
            <w:tcW w:w="9360" w:type="dxa"/>
            <w:tcMar>
              <w:top w:w="80" w:type="dxa"/>
              <w:left w:w="100" w:type="dxa"/>
              <w:bottom w:w="80" w:type="dxa"/>
              <w:right w:w="100" w:type="dxa"/>
            </w:tcMar>
          </w:tcPr>
          <w:p w14:paraId="18F4014B" w14:textId="77777777" w:rsidR="00B01618" w:rsidRDefault="00000000">
            <w:pPr>
              <w:spacing w:before="60" w:after="60"/>
            </w:pPr>
            <w:r>
              <w:rPr>
                <w:sz w:val="19"/>
                <w:szCs w:val="19"/>
              </w:rPr>
              <w:t>Confirmation that authenticated POST calls to Ramco MAGNA SFC APIs are technically feasible from the MES</w:t>
            </w:r>
          </w:p>
        </w:tc>
      </w:tr>
      <w:tr w:rsidR="00B01618" w14:paraId="522DA81A" w14:textId="77777777">
        <w:tblPrEx>
          <w:tblCellMar>
            <w:top w:w="0" w:type="dxa"/>
            <w:bottom w:w="0" w:type="dxa"/>
          </w:tblCellMar>
        </w:tblPrEx>
        <w:tc>
          <w:tcPr>
            <w:tcW w:w="9360" w:type="dxa"/>
            <w:tcMar>
              <w:top w:w="80" w:type="dxa"/>
              <w:left w:w="100" w:type="dxa"/>
              <w:bottom w:w="80" w:type="dxa"/>
              <w:right w:w="100" w:type="dxa"/>
            </w:tcMar>
          </w:tcPr>
          <w:p w14:paraId="7D08B5A6" w14:textId="77777777" w:rsidR="00B01618" w:rsidRDefault="00000000">
            <w:pPr>
              <w:spacing w:before="60" w:after="60"/>
            </w:pPr>
            <w:r>
              <w:rPr>
                <w:sz w:val="19"/>
                <w:szCs w:val="19"/>
              </w:rPr>
              <w:t>Proposed method for resolving the WO number at the time of each production event across all three stages</w:t>
            </w:r>
          </w:p>
        </w:tc>
      </w:tr>
      <w:tr w:rsidR="00B01618" w14:paraId="7E1A9C31" w14:textId="77777777">
        <w:tblPrEx>
          <w:tblCellMar>
            <w:top w:w="0" w:type="dxa"/>
            <w:bottom w:w="0" w:type="dxa"/>
          </w:tblCellMar>
        </w:tblPrEx>
        <w:tc>
          <w:tcPr>
            <w:tcW w:w="9360" w:type="dxa"/>
            <w:tcMar>
              <w:top w:w="80" w:type="dxa"/>
              <w:left w:w="100" w:type="dxa"/>
              <w:bottom w:w="80" w:type="dxa"/>
              <w:right w:w="100" w:type="dxa"/>
            </w:tcMar>
          </w:tcPr>
          <w:p w14:paraId="3C96BE98" w14:textId="77777777" w:rsidR="00B01618" w:rsidRDefault="00000000">
            <w:pPr>
              <w:spacing w:before="60" w:after="60"/>
            </w:pPr>
            <w:r>
              <w:rPr>
                <w:sz w:val="19"/>
                <w:szCs w:val="19"/>
              </w:rPr>
              <w:t>Any constraints, risks, or dependencies identified from the MES side that would affect this integration</w:t>
            </w:r>
          </w:p>
        </w:tc>
      </w:tr>
      <w:tr w:rsidR="00B01618" w14:paraId="7F66D094" w14:textId="77777777">
        <w:tblPrEx>
          <w:tblCellMar>
            <w:top w:w="0" w:type="dxa"/>
            <w:bottom w:w="0" w:type="dxa"/>
          </w:tblCellMar>
        </w:tblPrEx>
        <w:tc>
          <w:tcPr>
            <w:tcW w:w="9360" w:type="dxa"/>
            <w:tcMar>
              <w:top w:w="80" w:type="dxa"/>
              <w:left w:w="100" w:type="dxa"/>
              <w:bottom w:w="80" w:type="dxa"/>
              <w:right w:w="100" w:type="dxa"/>
            </w:tcMar>
          </w:tcPr>
          <w:p w14:paraId="5DE6EEDF" w14:textId="77777777" w:rsidR="00B01618" w:rsidRDefault="00000000">
            <w:pPr>
              <w:spacing w:before="60" w:after="60"/>
            </w:pPr>
            <w:r>
              <w:rPr>
                <w:sz w:val="19"/>
                <w:szCs w:val="19"/>
              </w:rPr>
              <w:t>Revised Milestone 2 scope and pricing to include SFC API write-back across Steel, Quilting, and Tape Edge</w:t>
            </w:r>
          </w:p>
        </w:tc>
      </w:tr>
    </w:tbl>
    <w:p w14:paraId="0B4A0CAA" w14:textId="25551029" w:rsidR="00B01618" w:rsidRDefault="00B01618" w:rsidP="00BF2896">
      <w:pPr>
        <w:spacing w:before="80"/>
      </w:pPr>
    </w:p>
    <w:sectPr w:rsidR="00B01618" w:rsidSect="00BF2896">
      <w:pgSz w:w="12240" w:h="15840"/>
      <w:pgMar w:top="851" w:right="1259" w:bottom="851" w:left="1259"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63F05"/>
    <w:multiLevelType w:val="hybridMultilevel"/>
    <w:tmpl w:val="3AA411B8"/>
    <w:lvl w:ilvl="0" w:tplc="47E816A8">
      <w:start w:val="1"/>
      <w:numFmt w:val="bullet"/>
      <w:lvlText w:val="●"/>
      <w:lvlJc w:val="left"/>
      <w:pPr>
        <w:ind w:left="720" w:hanging="360"/>
      </w:pPr>
    </w:lvl>
    <w:lvl w:ilvl="1" w:tplc="AD482F38">
      <w:start w:val="1"/>
      <w:numFmt w:val="bullet"/>
      <w:lvlText w:val="○"/>
      <w:lvlJc w:val="left"/>
      <w:pPr>
        <w:ind w:left="1440" w:hanging="360"/>
      </w:pPr>
    </w:lvl>
    <w:lvl w:ilvl="2" w:tplc="E91A3EB0">
      <w:start w:val="1"/>
      <w:numFmt w:val="bullet"/>
      <w:lvlText w:val="■"/>
      <w:lvlJc w:val="left"/>
      <w:pPr>
        <w:ind w:left="2160" w:hanging="360"/>
      </w:pPr>
    </w:lvl>
    <w:lvl w:ilvl="3" w:tplc="7818A9B4">
      <w:start w:val="1"/>
      <w:numFmt w:val="bullet"/>
      <w:lvlText w:val="●"/>
      <w:lvlJc w:val="left"/>
      <w:pPr>
        <w:ind w:left="2880" w:hanging="360"/>
      </w:pPr>
    </w:lvl>
    <w:lvl w:ilvl="4" w:tplc="04266D90">
      <w:start w:val="1"/>
      <w:numFmt w:val="bullet"/>
      <w:lvlText w:val="○"/>
      <w:lvlJc w:val="left"/>
      <w:pPr>
        <w:ind w:left="3600" w:hanging="360"/>
      </w:pPr>
    </w:lvl>
    <w:lvl w:ilvl="5" w:tplc="A00EEBCA">
      <w:start w:val="1"/>
      <w:numFmt w:val="bullet"/>
      <w:lvlText w:val="■"/>
      <w:lvlJc w:val="left"/>
      <w:pPr>
        <w:ind w:left="4320" w:hanging="360"/>
      </w:pPr>
    </w:lvl>
    <w:lvl w:ilvl="6" w:tplc="2536E790">
      <w:start w:val="1"/>
      <w:numFmt w:val="bullet"/>
      <w:lvlText w:val="●"/>
      <w:lvlJc w:val="left"/>
      <w:pPr>
        <w:ind w:left="5040" w:hanging="360"/>
      </w:pPr>
    </w:lvl>
    <w:lvl w:ilvl="7" w:tplc="35DECC9A">
      <w:start w:val="1"/>
      <w:numFmt w:val="bullet"/>
      <w:lvlText w:val="●"/>
      <w:lvlJc w:val="left"/>
      <w:pPr>
        <w:ind w:left="5760" w:hanging="360"/>
      </w:pPr>
    </w:lvl>
    <w:lvl w:ilvl="8" w:tplc="B628B956">
      <w:start w:val="1"/>
      <w:numFmt w:val="bullet"/>
      <w:lvlText w:val="●"/>
      <w:lvlJc w:val="left"/>
      <w:pPr>
        <w:ind w:left="6480" w:hanging="360"/>
      </w:pPr>
    </w:lvl>
  </w:abstractNum>
  <w:num w:numId="1" w16cid:durableId="9529050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618"/>
    <w:rsid w:val="008F280D"/>
    <w:rsid w:val="00B01618"/>
    <w:rsid w:val="00BF28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8AAFD"/>
  <w15:docId w15:val="{695B7A76-7A82-4436-8A4A-214C96B5B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575</Words>
  <Characters>3278</Characters>
  <Application>Microsoft Office Word</Application>
  <DocSecurity>0</DocSecurity>
  <Lines>27</Lines>
  <Paragraphs>7</Paragraphs>
  <ScaleCrop>false</ScaleCrop>
  <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 Rajan</cp:lastModifiedBy>
  <cp:revision>2</cp:revision>
  <dcterms:created xsi:type="dcterms:W3CDTF">2026-08-08T13:24:00Z</dcterms:created>
  <dcterms:modified xsi:type="dcterms:W3CDTF">2026-08-08T13:32:00Z</dcterms:modified>
</cp:coreProperties>
</file>