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Calibri" w:cs="Calibri" w:eastAsia="Calibri" w:hAnsi="Calibri"/>
          <w:b/>
          <w:bCs/>
          <w:color w:val="1F3864"/>
          <w:sz w:val="32"/>
          <w:szCs w:val="32"/>
        </w:rPr>
        <w:t xml:space="preserve">Tape Edge Production Tracking — Functional Specification</w:t>
      </w:r>
    </w:p>
    <w:p>
      <w:pPr>
        <w:spacing w:after="40" w:before="0"/>
      </w:pPr>
      <w:r>
        <w:rPr>
          <w:rFonts w:ascii="Calibri" w:cs="Calibri" w:eastAsia="Calibri" w:hAnsi="Calibri"/>
          <w:color w:val="555555"/>
          <w:sz w:val="20"/>
          <w:szCs w:val="20"/>
        </w:rPr>
        <w:t xml:space="preserve">Document type: Proof of Concept Functional Specification</w:t>
      </w:r>
    </w:p>
    <w:p>
      <w:pPr>
        <w:spacing w:after="40" w:before="0"/>
      </w:pPr>
      <w:r>
        <w:rPr>
          <w:rFonts w:ascii="Calibri" w:cs="Calibri" w:eastAsia="Calibri" w:hAnsi="Calibri"/>
          <w:color w:val="555555"/>
          <w:sz w:val="20"/>
          <w:szCs w:val="20"/>
        </w:rPr>
        <w:t xml:space="preserve">POC version: v2.4</w:t>
      </w:r>
    </w:p>
    <w:p>
      <w:pPr>
        <w:spacing w:after="40" w:before="0"/>
      </w:pPr>
      <w:r>
        <w:rPr>
          <w:rFonts w:ascii="Calibri" w:cs="Calibri" w:eastAsia="Calibri" w:hAnsi="Calibri"/>
          <w:color w:val="555555"/>
          <w:sz w:val="20"/>
          <w:szCs w:val="20"/>
        </w:rPr>
        <w:t xml:space="preserve">Prepared by: Peps Industries Pvt. Ltd. — IT</w:t>
      </w:r>
    </w:p>
    <w:p>
      <w:pPr>
        <w:spacing w:after="40" w:before="0"/>
      </w:pPr>
      <w:r>
        <w:rPr>
          <w:rFonts w:ascii="Calibri" w:cs="Calibri" w:eastAsia="Calibri" w:hAnsi="Calibri"/>
          <w:color w:val="555555"/>
          <w:sz w:val="20"/>
          <w:szCs w:val="20"/>
        </w:rPr>
        <w:t xml:space="preserve">Date: 6 August 2026</w:t>
      </w:r>
    </w:p>
    <w:p>
      <w:pPr>
        <w:spacing w:after="80" w:before="0"/>
      </w:pPr>
      <w:r>
        <w:rPr>
          <w:rFonts w:ascii="Calibri" w:cs="Calibri" w:eastAsia="Calibri" w:hAnsi="Calibri"/>
          <w:color w:val="555555"/>
          <w:sz w:val="20"/>
          <w:szCs w:val="20"/>
        </w:rPr>
        <w:t xml:space="preserve">Intended audience: Kalanjiyam Technological Solutions Pvt. Ltd.</w:t>
      </w:r>
    </w:p>
    <w:p>
      <w:pPr>
        <w:pBdr>
          <w:bottom w:val="single" w:color="CCCCCC" w:sz="6"/>
        </w:pBdr>
        <w:spacing w:after="120" w:before="120"/>
      </w:pPr>
    </w:p>
    <w:p>
      <w:pPr>
        <w:pStyle w:val="Heading1"/>
        <w:spacing w:after="100" w:before="300"/>
      </w:pPr>
      <w:r>
        <w:rPr>
          <w:rFonts w:ascii="Calibri" w:cs="Calibri" w:eastAsia="Calibri" w:hAnsi="Calibri"/>
          <w:b/>
          <w:bCs/>
          <w:color w:val="1F3864"/>
          <w:sz w:val="26"/>
          <w:szCs w:val="26"/>
        </w:rPr>
        <w:t xml:space="preserve">1. Purpose</w:t>
      </w:r>
    </w:p>
    <w:p>
      <w:pPr>
        <w:spacing w:after="60" w:before="60"/>
      </w:pPr>
      <w:r>
        <w:rPr>
          <w:rFonts w:ascii="Calibri" w:cs="Calibri" w:eastAsia="Calibri" w:hAnsi="Calibri"/>
          <w:sz w:val="20"/>
          <w:szCs w:val="20"/>
        </w:rPr>
        <w:t xml:space="preserve">This document describes the functional behaviour of the Tape Edge Production Tracking proof of concept (POC v2.4) built by Peps IT. It is provided to Kalanjiyam as reference material for the production system build — specifically to communicate the business rules, data model, and screen behaviour that have been conceptually validated. The POC is a browser-based prototype with no server backend; Kalanjiyam is responsible for rebuilding this as a production application with SQL Server persistence and real-time multi-device support.</w:t>
      </w:r>
    </w:p>
    <w:p>
      <w:pPr>
        <w:spacing w:after="0" w:before="80"/>
      </w:pPr>
    </w:p>
    <w:p>
      <w:pPr>
        <w:pStyle w:val="Heading1"/>
        <w:spacing w:after="100" w:before="300"/>
      </w:pPr>
      <w:r>
        <w:rPr>
          <w:rFonts w:ascii="Calibri" w:cs="Calibri" w:eastAsia="Calibri" w:hAnsi="Calibri"/>
          <w:b/>
          <w:bCs/>
          <w:color w:val="1F3864"/>
          <w:sz w:val="26"/>
          <w:szCs w:val="26"/>
        </w:rPr>
        <w:t xml:space="preserve">2. System Overview</w:t>
      </w:r>
    </w:p>
    <w:p>
      <w:pPr>
        <w:spacing w:after="60" w:before="60"/>
      </w:pPr>
      <w:r>
        <w:rPr>
          <w:rFonts w:ascii="Calibri" w:cs="Calibri" w:eastAsia="Calibri" w:hAnsi="Calibri"/>
          <w:sz w:val="20"/>
          <w:szCs w:val="20"/>
        </w:rPr>
        <w:t xml:space="preserve">The POC is a single-file HTML application that runs in Chrome browser. It captures production counts at the Tape Edge department by scanning the QR code on the MRP sticker affixed to each mattress. Every confirmed scan records the Item SI No (unique serial number), resolves the item details from a reference dataset, and logs the event with machine identity, shift, and timestamp. A real-time display board and a dashboard analytics view are built on top of the same scan log.</w:t>
      </w:r>
    </w:p>
    <w:p>
      <w:pPr>
        <w:spacing w:after="0" w:before="60"/>
      </w:pPr>
    </w:p>
    <w:p>
      <w:pPr>
        <w:spacing w:after="60" w:before="60"/>
      </w:pPr>
      <w:r>
        <w:rPr>
          <w:rFonts w:ascii="Calibri" w:cs="Calibri" w:eastAsia="Calibri" w:hAnsi="Calibri"/>
          <w:sz w:val="20"/>
          <w:szCs w:val="20"/>
        </w:rPr>
        <w:t xml:space="preserve">The POC stores all data in browser memory. There is no server, no database, and no persistence across page refreshes. The production build must replace in-memory storage with SQL Server writes (production_events table) and serve the application from a central web server so multiple devices share the same data.</w:t>
      </w:r>
    </w:p>
    <w:p>
      <w:pPr>
        <w:spacing w:after="0" w:before="80"/>
      </w:pPr>
    </w:p>
    <w:p>
      <w:pPr>
        <w:pStyle w:val="Heading1"/>
        <w:spacing w:after="100" w:before="300"/>
      </w:pPr>
      <w:r>
        <w:rPr>
          <w:rFonts w:ascii="Calibri" w:cs="Calibri" w:eastAsia="Calibri" w:hAnsi="Calibri"/>
          <w:b/>
          <w:bCs/>
          <w:color w:val="1F3864"/>
          <w:sz w:val="26"/>
          <w:szCs w:val="26"/>
        </w:rPr>
        <w:t xml:space="preserve">3. Machine Configuration</w:t>
      </w:r>
    </w:p>
    <w:p>
      <w:pPr>
        <w:spacing w:after="60" w:before="60"/>
      </w:pPr>
      <w:r>
        <w:rPr>
          <w:rFonts w:ascii="Calibri" w:cs="Calibri" w:eastAsia="Calibri" w:hAnsi="Calibri"/>
          <w:sz w:val="20"/>
          <w:szCs w:val="20"/>
        </w:rPr>
        <w:t xml:space="preserve">Machines are fixed in configuration: TE-01 through TE-11 (11 machines across the Spring and Hypnos sections). The operator selects their machine at the start of each session. The selected machine persists for the session and can be changed without refreshing the page via the CHANGE button on the Scan tab.</w:t>
      </w:r>
    </w:p>
    <w:p>
      <w:pPr>
        <w:spacing w:after="0" w:before="80"/>
      </w:pPr>
    </w:p>
    <w:p>
      <w:pPr>
        <w:pStyle w:val="Heading1"/>
        <w:spacing w:after="100" w:before="300"/>
      </w:pPr>
      <w:r>
        <w:rPr>
          <w:rFonts w:ascii="Calibri" w:cs="Calibri" w:eastAsia="Calibri" w:hAnsi="Calibri"/>
          <w:b/>
          <w:bCs/>
          <w:color w:val="1F3864"/>
          <w:sz w:val="26"/>
          <w:szCs w:val="26"/>
        </w:rPr>
        <w:t xml:space="preserve">4. Shift Logic</w:t>
      </w:r>
    </w:p>
    <w:p>
      <w:pPr>
        <w:spacing w:after="60" w:before="60"/>
      </w:pPr>
      <w:r>
        <w:rPr>
          <w:rFonts w:ascii="Calibri" w:cs="Calibri" w:eastAsia="Calibri" w:hAnsi="Calibri"/>
          <w:sz w:val="20"/>
          <w:szCs w:val="20"/>
        </w:rPr>
        <w:t xml:space="preserve">Two shifts are defined. Shift assignment is derived automatically from the system clock at the moment of each scan — the operator does not select a shift.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shd w:fill="D6E4F0" w:val="clear"/>
            <w:tcMar>
              <w:top w:type="dxa" w:w="80"/>
              <w:left w:type="dxa" w:w="100"/>
              <w:bottom w:type="dxa" w:w="80"/>
              <w:right w:type="dxa" w:w="100"/>
            </w:tcMar>
          </w:tcPr>
          <w:p>
            <w:pPr>
              <w:spacing w:after="60" w:before="60"/>
            </w:pPr>
            <w:r>
              <w:rPr>
                <w:rFonts w:ascii="Calibri" w:cs="Calibri" w:eastAsia="Calibri" w:hAnsi="Calibri"/>
                <w:b/>
                <w:bCs/>
                <w:sz w:val="19"/>
                <w:szCs w:val="19"/>
              </w:rPr>
              <w:t xml:space="preserve">Shift</w:t>
            </w:r>
          </w:p>
        </w:tc>
        <w:tc>
          <w:tcPr>
            <w:tcW w:type="dxa" w:w="2400"/>
            <w:shd w:fill="D6E4F0" w:val="clear"/>
            <w:tcMar>
              <w:top w:type="dxa" w:w="80"/>
              <w:left w:type="dxa" w:w="100"/>
              <w:bottom w:type="dxa" w:w="80"/>
              <w:right w:type="dxa" w:w="100"/>
            </w:tcMar>
          </w:tcPr>
          <w:p>
            <w:pPr>
              <w:spacing w:after="60" w:before="60"/>
            </w:pPr>
            <w:r>
              <w:rPr>
                <w:rFonts w:ascii="Calibri" w:cs="Calibri" w:eastAsia="Calibri" w:hAnsi="Calibri"/>
                <w:b/>
                <w:bCs/>
                <w:sz w:val="19"/>
                <w:szCs w:val="19"/>
              </w:rPr>
              <w:t xml:space="preserve">Hours</w:t>
            </w:r>
          </w:p>
        </w:tc>
        <w:tc>
          <w:tcPr>
            <w:tcW w:type="dxa" w:w="4560"/>
            <w:shd w:fill="D6E4F0" w:val="clear"/>
            <w:tcMar>
              <w:top w:type="dxa" w:w="80"/>
              <w:left w:type="dxa" w:w="100"/>
              <w:bottom w:type="dxa" w:w="80"/>
              <w:right w:type="dxa" w:w="100"/>
            </w:tcMar>
          </w:tcPr>
          <w:p>
            <w:pPr>
              <w:spacing w:after="60" w:before="60"/>
            </w:pPr>
            <w:r>
              <w:rPr>
                <w:rFonts w:ascii="Calibri" w:cs="Calibri" w:eastAsia="Calibri" w:hAnsi="Calibri"/>
                <w:b/>
                <w:bCs/>
                <w:sz w:val="19"/>
                <w:szCs w:val="19"/>
              </w:rPr>
              <w:t xml:space="preserve">Boundary Handling</w:t>
            </w:r>
          </w:p>
        </w:tc>
      </w:tr>
      <w:tr>
        <w:tc>
          <w:tcPr>
            <w:tcW w:type="dxa" w:w="240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Day</w:t>
            </w:r>
          </w:p>
        </w:tc>
        <w:tc>
          <w:tcPr>
            <w:tcW w:type="dxa" w:w="240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08:00 – 20:00</w:t>
            </w:r>
          </w:p>
        </w:tc>
        <w:tc>
          <w:tcPr>
            <w:tcW w:type="dxa" w:w="456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Straightforward — starts and ends same calendar day</w:t>
            </w:r>
          </w:p>
        </w:tc>
      </w:tr>
      <w:tr>
        <w:tc>
          <w:tcPr>
            <w:tcW w:type="dxa" w:w="240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Night</w:t>
            </w:r>
          </w:p>
        </w:tc>
        <w:tc>
          <w:tcPr>
            <w:tcW w:type="dxa" w:w="240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20:00 – 08:00 (next day)</w:t>
            </w:r>
          </w:p>
        </w:tc>
        <w:tc>
          <w:tcPr>
            <w:tcW w:type="dxa" w:w="456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Spans midnight. Logic: current hour ≥ 20 OR current hour &lt; 8. Night shift date anchored to the day the shift started (the evening date). Day totals accumulate correctly across this boundary.</w:t>
            </w:r>
          </w:p>
        </w:tc>
      </w:tr>
    </w:tbl>
    <w:p>
      <w:pPr>
        <w:spacing w:after="0" w:before="80"/>
      </w:pPr>
    </w:p>
    <w:p>
      <w:pPr>
        <w:spacing w:after="60" w:before="60"/>
      </w:pPr>
      <w:r>
        <w:rPr>
          <w:rFonts w:ascii="Calibri" w:cs="Calibri" w:eastAsia="Calibri" w:hAnsi="Calibri"/>
          <w:sz w:val="20"/>
          <w:szCs w:val="20"/>
        </w:rPr>
        <w:t xml:space="preserve">The BOARD tab displays the current shift's totals and a summary of the previous shift alongside. The day total is computed across both shifts for the current calendar date, with night shift records anchored to the evening date (not the next-day date after midnight).</w:t>
      </w:r>
    </w:p>
    <w:p>
      <w:pPr>
        <w:spacing w:after="0" w:before="80"/>
      </w:pPr>
    </w:p>
    <w:p>
      <w:pPr>
        <w:pStyle w:val="Heading1"/>
        <w:spacing w:after="100" w:before="300"/>
      </w:pPr>
      <w:r>
        <w:rPr>
          <w:rFonts w:ascii="Calibri" w:cs="Calibri" w:eastAsia="Calibri" w:hAnsi="Calibri"/>
          <w:b/>
          <w:bCs/>
          <w:color w:val="1F3864"/>
          <w:sz w:val="26"/>
          <w:szCs w:val="26"/>
        </w:rPr>
        <w:t xml:space="preserve">5. Reference Data (Item Master)</w:t>
      </w:r>
    </w:p>
    <w:p>
      <w:pPr>
        <w:spacing w:after="60" w:before="60"/>
      </w:pPr>
      <w:r>
        <w:rPr>
          <w:rFonts w:ascii="Calibri" w:cs="Calibri" w:eastAsia="Calibri" w:hAnsi="Calibri"/>
          <w:sz w:val="20"/>
          <w:szCs w:val="20"/>
        </w:rPr>
        <w:t xml:space="preserve">The POC uses a two-tier reference data structure:</w:t>
      </w:r>
    </w:p>
    <w:p>
      <w:pPr>
        <w:spacing w:after="0" w:before="60"/>
      </w:pPr>
    </w:p>
    <w:p>
      <w:pPr>
        <w:pStyle w:val="Heading2"/>
        <w:spacing w:after="80" w:before="200"/>
      </w:pPr>
      <w:r>
        <w:rPr>
          <w:rFonts w:ascii="Calibri" w:cs="Calibri" w:eastAsia="Calibri" w:hAnsi="Calibri"/>
          <w:b/>
          <w:bCs/>
          <w:color w:val="2E5090"/>
          <w:sz w:val="22"/>
          <w:szCs w:val="22"/>
        </w:rPr>
        <w:t xml:space="preserve">5.1 Session Upload (mlbarod_det extract)</w:t>
      </w:r>
    </w:p>
    <w:p>
      <w:pPr>
        <w:spacing w:after="60" w:before="60"/>
      </w:pPr>
      <w:r>
        <w:rPr>
          <w:rFonts w:ascii="Calibri" w:cs="Calibri" w:eastAsia="Calibri" w:hAnsi="Calibri"/>
          <w:sz w:val="20"/>
          <w:szCs w:val="20"/>
        </w:rPr>
        <w:t xml:space="preserve">At session start, the operator uploads an Excel export from Ramco (the mlbarod_det barcode generation report). The file is parsed using SheetJS. Valid rows are merged into an in-memory map keyed by Item SI No (si). Each row provides: Item SI No, Item Code, Description, UPRC Doc No, and barcode date. Duplicate SI Nos within the same file are flagged and skipped; the operator sees an upload error summary. Valid rows are appended to the existing reference map (not replaced), supporting multi-file uploads within a session.</w:t>
      </w:r>
    </w:p>
    <w:p>
      <w:pPr>
        <w:spacing w:after="0" w:before="60"/>
      </w:pPr>
    </w:p>
    <w:p>
      <w:pPr>
        <w:pStyle w:val="Heading2"/>
        <w:spacing w:after="80" w:before="200"/>
      </w:pPr>
      <w:r>
        <w:rPr>
          <w:rFonts w:ascii="Calibri" w:cs="Calibri" w:eastAsia="Calibri" w:hAnsi="Calibri"/>
          <w:b/>
          <w:bCs/>
          <w:color w:val="2E5090"/>
          <w:sz w:val="22"/>
          <w:szCs w:val="22"/>
        </w:rPr>
        <w:t xml:space="preserve">5.2 Item Code Prefix Lookup (BRAND_MAP)</w:t>
      </w:r>
    </w:p>
    <w:p>
      <w:pPr>
        <w:spacing w:after="60" w:before="60"/>
      </w:pPr>
      <w:r>
        <w:rPr>
          <w:rFonts w:ascii="Calibri" w:cs="Calibri" w:eastAsia="Calibri" w:hAnsi="Calibri"/>
          <w:sz w:val="20"/>
          <w:szCs w:val="20"/>
        </w:rPr>
        <w:t xml:space="preserve">After resolving the Item Code from the session upload, the application matches it against BRAND_MAP — a built-in 102-entry table of Item Code prefixes mapping to product variety and brand group. The prefix list is sorted by length descending before matching, ensuring the most specific prefix wins. If no prefix matches, the record is assigned brand "Unknown" and variety "Unknown".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6E4F0" w:val="clear"/>
            <w:tcMar>
              <w:top w:type="dxa" w:w="80"/>
              <w:left w:type="dxa" w:w="100"/>
              <w:bottom w:type="dxa" w:w="80"/>
              <w:right w:type="dxa" w:w="100"/>
            </w:tcMar>
          </w:tcPr>
          <w:p>
            <w:pPr>
              <w:spacing w:after="60" w:before="60"/>
            </w:pPr>
            <w:r>
              <w:rPr>
                <w:rFonts w:ascii="Calibri" w:cs="Calibri" w:eastAsia="Calibri" w:hAnsi="Calibri"/>
                <w:b/>
                <w:bCs/>
                <w:sz w:val="19"/>
                <w:szCs w:val="19"/>
              </w:rPr>
              <w:t xml:space="preserve">Brand Group</w:t>
            </w:r>
          </w:p>
        </w:tc>
        <w:tc>
          <w:tcPr>
            <w:tcW w:type="dxa" w:w="3120"/>
            <w:shd w:fill="D6E4F0" w:val="clear"/>
            <w:tcMar>
              <w:top w:type="dxa" w:w="80"/>
              <w:left w:type="dxa" w:w="100"/>
              <w:bottom w:type="dxa" w:w="80"/>
              <w:right w:type="dxa" w:w="100"/>
            </w:tcMar>
          </w:tcPr>
          <w:p>
            <w:pPr>
              <w:spacing w:after="60" w:before="60"/>
            </w:pPr>
            <w:r>
              <w:rPr>
                <w:rFonts w:ascii="Calibri" w:cs="Calibri" w:eastAsia="Calibri" w:hAnsi="Calibri"/>
                <w:b/>
                <w:bCs/>
                <w:sz w:val="19"/>
                <w:szCs w:val="19"/>
              </w:rPr>
              <w:t xml:space="preserve">Segment</w:t>
            </w:r>
          </w:p>
        </w:tc>
        <w:tc>
          <w:tcPr>
            <w:tcW w:type="dxa" w:w="3120"/>
            <w:shd w:fill="D6E4F0" w:val="clear"/>
            <w:tcMar>
              <w:top w:type="dxa" w:w="80"/>
              <w:left w:type="dxa" w:w="100"/>
              <w:bottom w:type="dxa" w:w="80"/>
              <w:right w:type="dxa" w:w="100"/>
            </w:tcMar>
          </w:tcPr>
          <w:p>
            <w:pPr>
              <w:spacing w:after="60" w:before="60"/>
            </w:pPr>
            <w:r>
              <w:rPr>
                <w:rFonts w:ascii="Calibri" w:cs="Calibri" w:eastAsia="Calibri" w:hAnsi="Calibri"/>
                <w:b/>
                <w:bCs/>
                <w:sz w:val="19"/>
                <w:szCs w:val="19"/>
              </w:rPr>
              <w:t xml:space="preserve">Example Prefixes</w:t>
            </w:r>
          </w:p>
        </w:tc>
      </w:tr>
      <w:tr>
        <w:tc>
          <w:tcPr>
            <w:tcW w:type="dxa" w:w="312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Peps Spring</w:t>
            </w:r>
          </w:p>
        </w:tc>
        <w:tc>
          <w:tcPr>
            <w:tcW w:type="dxa" w:w="312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Low / Premium (by brand)</w:t>
            </w:r>
          </w:p>
        </w:tc>
        <w:tc>
          <w:tcPr>
            <w:tcW w:type="dxa" w:w="312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SKBNNL, PEPSBNCOMNL, PEPSPKSUPNL, RTGPCS, RTPKARPLMF, RTBNSNPLMF, SKSGSR, PEPSPKORG</w:t>
            </w:r>
          </w:p>
        </w:tc>
      </w:tr>
      <w:tr>
        <w:tc>
          <w:tcPr>
            <w:tcW w:type="dxa" w:w="312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Vista Bond</w:t>
            </w:r>
          </w:p>
        </w:tc>
        <w:tc>
          <w:tcPr>
            <w:tcW w:type="dxa" w:w="312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Low</w:t>
            </w:r>
          </w:p>
        </w:tc>
        <w:tc>
          <w:tcPr>
            <w:tcW w:type="dxa" w:w="312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HYPVISBND</w:t>
            </w:r>
          </w:p>
        </w:tc>
      </w:tr>
      <w:tr>
        <w:tc>
          <w:tcPr>
            <w:tcW w:type="dxa" w:w="312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Cirrus Foam</w:t>
            </w:r>
          </w:p>
        </w:tc>
        <w:tc>
          <w:tcPr>
            <w:tcW w:type="dxa" w:w="312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Foam</w:t>
            </w:r>
          </w:p>
        </w:tc>
        <w:tc>
          <w:tcPr>
            <w:tcW w:type="dxa" w:w="312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HYPINSFMMR, HYPKBRZFM, HYPMEMFM, HYPVISFM, HYPVISSFT, HYPLTXGR</w:t>
            </w:r>
          </w:p>
        </w:tc>
      </w:tr>
    </w:tbl>
    <w:p>
      <w:pPr>
        <w:spacing w:after="0" w:before="80"/>
      </w:pPr>
    </w:p>
    <w:p>
      <w:pPr>
        <w:spacing w:after="60" w:before="60"/>
      </w:pPr>
      <w:r>
        <w:rPr>
          <w:rFonts w:ascii="Calibri" w:cs="Calibri" w:eastAsia="Calibri" w:hAnsi="Calibri"/>
          <w:sz w:val="20"/>
          <w:szCs w:val="20"/>
        </w:rPr>
        <w:t xml:space="preserve">Brand maps to Segment as follows: Peps Spring items with item code prefix indicating High-end → Premium segment; standard Peps Spring → Low segment; Vista Bond → Low; Cirrus Foam → Foam. The exact segment assignment per brand prefix is encoded in BRAND_SEGMENT within the application.</w:t>
      </w:r>
    </w:p>
    <w:p>
      <w:pPr>
        <w:spacing w:after="0" w:before="60"/>
      </w:pPr>
    </w:p>
    <w:p>
      <w:pPr>
        <w:pStyle w:val="Heading2"/>
        <w:spacing w:after="80" w:before="200"/>
      </w:pPr>
      <w:r>
        <w:rPr>
          <w:rFonts w:ascii="Calibri" w:cs="Calibri" w:eastAsia="Calibri" w:hAnsi="Calibri"/>
          <w:b/>
          <w:bCs/>
          <w:color w:val="2E5090"/>
          <w:sz w:val="22"/>
          <w:szCs w:val="22"/>
        </w:rPr>
        <w:t xml:space="preserve">5.3 Built-in Sample Data</w:t>
      </w:r>
    </w:p>
    <w:p>
      <w:pPr>
        <w:spacing w:after="60" w:before="60"/>
      </w:pPr>
      <w:r>
        <w:rPr>
          <w:rFonts w:ascii="Calibri" w:cs="Calibri" w:eastAsia="Calibri" w:hAnsi="Calibri"/>
          <w:sz w:val="20"/>
          <w:szCs w:val="20"/>
        </w:rPr>
        <w:t xml:space="preserve">The POC includes 16,260 built-in reference records spanning 20 production days (9 May – 28 May 2026) to support testing without an active Ramco export. This data is a real extract from Ramco and covers a cross-section of Peps Spring, Vista Bond, and Cirrus Foam products.</w:t>
      </w:r>
    </w:p>
    <w:p>
      <w:pPr>
        <w:spacing w:after="0" w:before="80"/>
      </w:pPr>
    </w:p>
    <w:p>
      <w:pPr>
        <w:pStyle w:val="Heading1"/>
        <w:spacing w:after="100" w:before="300"/>
      </w:pPr>
      <w:r>
        <w:rPr>
          <w:rFonts w:ascii="Calibri" w:cs="Calibri" w:eastAsia="Calibri" w:hAnsi="Calibri"/>
          <w:b/>
          <w:bCs/>
          <w:color w:val="1F3864"/>
          <w:sz w:val="26"/>
          <w:szCs w:val="26"/>
        </w:rPr>
        <w:t xml:space="preserve">6. Scan Flow</w:t>
      </w:r>
    </w:p>
    <w:p>
      <w:pPr>
        <w:pStyle w:val="Heading2"/>
        <w:spacing w:after="80" w:before="200"/>
      </w:pPr>
      <w:r>
        <w:rPr>
          <w:rFonts w:ascii="Calibri" w:cs="Calibri" w:eastAsia="Calibri" w:hAnsi="Calibri"/>
          <w:b/>
          <w:bCs/>
          <w:color w:val="2E5090"/>
          <w:sz w:val="22"/>
          <w:szCs w:val="22"/>
        </w:rPr>
        <w:t xml:space="preserve">6.1 Input Methods</w:t>
      </w:r>
    </w:p>
    <w:p>
      <w:pPr>
        <w:pStyle w:val="ListParagraph"/>
        <w:numPr>
          <w:ilvl w:val="0"/>
          <w:numId w:val="1"/>
        </w:numPr>
        <w:spacing w:after="40" w:before="40"/>
      </w:pPr>
      <w:r>
        <w:rPr>
          <w:rFonts w:ascii="Calibri" w:cs="Calibri" w:eastAsia="Calibri" w:hAnsi="Calibri"/>
          <w:b w:val="false"/>
          <w:bCs w:val="false"/>
          <w:sz w:val="20"/>
          <w:szCs w:val="20"/>
        </w:rPr>
        <w:t xml:space="preserve">Camera QR scan — jsQR library reads QR codes from the device camera via a live video overlay. The operator taps SCAN, points at the MRP sticker, and the code is detected automatically.</w:t>
      </w:r>
    </w:p>
    <w:p>
      <w:pPr>
        <w:pStyle w:val="ListParagraph"/>
        <w:numPr>
          <w:ilvl w:val="0"/>
          <w:numId w:val="1"/>
        </w:numPr>
        <w:spacing w:after="40" w:before="40"/>
      </w:pPr>
      <w:r>
        <w:rPr>
          <w:rFonts w:ascii="Calibri" w:cs="Calibri" w:eastAsia="Calibri" w:hAnsi="Calibri"/>
          <w:b w:val="false"/>
          <w:bCs w:val="false"/>
          <w:sz w:val="20"/>
          <w:szCs w:val="20"/>
        </w:rPr>
        <w:t xml:space="preserve">Manual entry — operator types or pastes the Item SI No into a text field and submits. This is the fallback for camera failures.</w:t>
      </w:r>
    </w:p>
    <w:p>
      <w:pPr>
        <w:pStyle w:val="ListParagraph"/>
        <w:numPr>
          <w:ilvl w:val="0"/>
          <w:numId w:val="1"/>
        </w:numPr>
        <w:spacing w:after="40" w:before="40"/>
      </w:pPr>
      <w:r>
        <w:rPr>
          <w:rFonts w:ascii="Calibri" w:cs="Calibri" w:eastAsia="Calibri" w:hAnsi="Calibri"/>
          <w:b w:val="false"/>
          <w:bCs w:val="false"/>
          <w:sz w:val="20"/>
          <w:szCs w:val="20"/>
        </w:rPr>
        <w:t xml:space="preserve">HID scanner (production intent) — a fixed-mount USB HID barcode scanner presents as keyboard input. The text field on the SCAN tab receives keystrokes directly without any driver. The operator does not need to click the field — focus is returned automatically after each Save/Cancel action.</w:t>
      </w:r>
    </w:p>
    <w:p>
      <w:pPr>
        <w:spacing w:after="0" w:before="60"/>
      </w:pPr>
    </w:p>
    <w:p>
      <w:pPr>
        <w:pStyle w:val="Heading2"/>
        <w:spacing w:after="80" w:before="200"/>
      </w:pPr>
      <w:r>
        <w:rPr>
          <w:rFonts w:ascii="Calibri" w:cs="Calibri" w:eastAsia="Calibri" w:hAnsi="Calibri"/>
          <w:b/>
          <w:bCs/>
          <w:color w:val="2E5090"/>
          <w:sz w:val="22"/>
          <w:szCs w:val="22"/>
        </w:rPr>
        <w:t xml:space="preserve">6.2 QR Format</w:t>
      </w:r>
    </w:p>
    <w:p>
      <w:pPr>
        <w:spacing w:after="60" w:before="60"/>
      </w:pPr>
      <w:r>
        <w:rPr>
          <w:rFonts w:ascii="Calibri" w:cs="Calibri" w:eastAsia="Calibri" w:hAnsi="Calibri"/>
          <w:sz w:val="20"/>
          <w:szCs w:val="20"/>
        </w:rPr>
        <w:t xml:space="preserve">The MRP sticker QR code encodes the Item SI No directly (the full serial number string, e.g. "20052026P0200737"). The POC extracts this from the raw QR data. Format validation: the SI No must match the pattern DDMMYYYY + letter + 7-digit sequence. If the raw QR value contains additional delimiters, the POC strips them before lookup.</w:t>
      </w:r>
    </w:p>
    <w:p>
      <w:pPr>
        <w:spacing w:after="0" w:before="60"/>
      </w:pPr>
    </w:p>
    <w:p>
      <w:pPr>
        <w:pStyle w:val="Heading2"/>
        <w:spacing w:after="80" w:before="200"/>
      </w:pPr>
      <w:r>
        <w:rPr>
          <w:rFonts w:ascii="Calibri" w:cs="Calibri" w:eastAsia="Calibri" w:hAnsi="Calibri"/>
          <w:b/>
          <w:bCs/>
          <w:color w:val="2E5090"/>
          <w:sz w:val="22"/>
          <w:szCs w:val="22"/>
        </w:rPr>
        <w:t xml:space="preserve">6.3 Duplicate Detection</w:t>
      </w:r>
    </w:p>
    <w:p>
      <w:pPr>
        <w:spacing w:after="60" w:before="60"/>
      </w:pPr>
      <w:r>
        <w:rPr>
          <w:rFonts w:ascii="Calibri" w:cs="Calibri" w:eastAsia="Calibri" w:hAnsi="Calibri"/>
          <w:sz w:val="20"/>
          <w:szCs w:val="20"/>
        </w:rPr>
        <w:t xml:space="preserve">Before showing a result card, the application checks whether the Item SI No has already been saved in the current session. If a duplicate is detected, a distinct orange card is shown with the original scan details (first scan time, machine). The duplicate is blocked from being saved. The operator can flag the duplicate for supervisor review or dismiss the card.</w:t>
      </w:r>
    </w:p>
    <w:p>
      <w:pPr>
        <w:spacing w:after="0" w:before="60"/>
      </w:pPr>
    </w:p>
    <w:p>
      <w:pPr>
        <w:pStyle w:val="Heading2"/>
        <w:spacing w:after="80" w:before="200"/>
      </w:pPr>
      <w:r>
        <w:rPr>
          <w:rFonts w:ascii="Calibri" w:cs="Calibri" w:eastAsia="Calibri" w:hAnsi="Calibri"/>
          <w:b/>
          <w:bCs/>
          <w:color w:val="2E5090"/>
          <w:sz w:val="22"/>
          <w:szCs w:val="22"/>
        </w:rPr>
        <w:t xml:space="preserve">6.4 Result Cards</w:t>
      </w:r>
    </w:p>
    <w:p>
      <w:pPr>
        <w:pStyle w:val="ListParagraph"/>
        <w:numPr>
          <w:ilvl w:val="0"/>
          <w:numId w:val="1"/>
        </w:numPr>
        <w:spacing w:after="40" w:before="40"/>
      </w:pPr>
      <w:r>
        <w:rPr>
          <w:rFonts w:ascii="Calibri" w:cs="Calibri" w:eastAsia="Calibri" w:hAnsi="Calibri"/>
          <w:b w:val="false"/>
          <w:bCs w:val="false"/>
          <w:sz w:val="20"/>
          <w:szCs w:val="20"/>
        </w:rPr>
        <w:t xml:space="preserve">Green (SAVED) — Item SI No found in reference data, Save confirmed by operator. Record written to log.</w:t>
      </w:r>
    </w:p>
    <w:p>
      <w:pPr>
        <w:pStyle w:val="ListParagraph"/>
        <w:numPr>
          <w:ilvl w:val="0"/>
          <w:numId w:val="1"/>
        </w:numPr>
        <w:spacing w:after="40" w:before="40"/>
      </w:pPr>
      <w:r>
        <w:rPr>
          <w:rFonts w:ascii="Calibri" w:cs="Calibri" w:eastAsia="Calibri" w:hAnsi="Calibri"/>
          <w:b w:val="false"/>
          <w:bCs w:val="false"/>
          <w:sz w:val="20"/>
          <w:szCs w:val="20"/>
        </w:rPr>
        <w:t xml:space="preserve">Blue (PENDING) — Item SI No found in reference data, awaiting Save / Cancel confirmation.</w:t>
      </w:r>
    </w:p>
    <w:p>
      <w:pPr>
        <w:pStyle w:val="ListParagraph"/>
        <w:numPr>
          <w:ilvl w:val="0"/>
          <w:numId w:val="1"/>
        </w:numPr>
        <w:spacing w:after="40" w:before="40"/>
      </w:pPr>
      <w:r>
        <w:rPr>
          <w:rFonts w:ascii="Calibri" w:cs="Calibri" w:eastAsia="Calibri" w:hAnsi="Calibri"/>
          <w:b w:val="false"/>
          <w:bCs w:val="false"/>
          <w:sz w:val="20"/>
          <w:szCs w:val="20"/>
        </w:rPr>
        <w:t xml:space="preserve">Orange (DUPLICATE) — Item SI No already saved this session. Blocked.</w:t>
      </w:r>
    </w:p>
    <w:p>
      <w:pPr>
        <w:pStyle w:val="ListParagraph"/>
        <w:numPr>
          <w:ilvl w:val="0"/>
          <w:numId w:val="1"/>
        </w:numPr>
        <w:spacing w:after="40" w:before="40"/>
      </w:pPr>
      <w:r>
        <w:rPr>
          <w:rFonts w:ascii="Calibri" w:cs="Calibri" w:eastAsia="Calibri" w:hAnsi="Calibri"/>
          <w:b w:val="false"/>
          <w:bCs w:val="false"/>
          <w:sz w:val="20"/>
          <w:szCs w:val="20"/>
        </w:rPr>
        <w:t xml:space="preserve">Red (NOT FOUND) — Item SI No not present in the session reference data. Logged with status "not_found" for review; not counted in production totals.</w:t>
      </w:r>
    </w:p>
    <w:p>
      <w:pPr>
        <w:spacing w:after="0" w:before="60"/>
      </w:pPr>
    </w:p>
    <w:p>
      <w:pPr>
        <w:pStyle w:val="Heading2"/>
        <w:spacing w:after="80" w:before="200"/>
      </w:pPr>
      <w:r>
        <w:rPr>
          <w:rFonts w:ascii="Calibri" w:cs="Calibri" w:eastAsia="Calibri" w:hAnsi="Calibri"/>
          <w:b/>
          <w:bCs/>
          <w:color w:val="2E5090"/>
          <w:sz w:val="22"/>
          <w:szCs w:val="22"/>
        </w:rPr>
        <w:t xml:space="preserve">6.5 Save / Cancel Confirmation</w:t>
      </w:r>
    </w:p>
    <w:p>
      <w:pPr>
        <w:spacing w:after="60" w:before="60"/>
      </w:pPr>
      <w:r>
        <w:rPr>
          <w:rFonts w:ascii="Calibri" w:cs="Calibri" w:eastAsia="Calibri" w:hAnsi="Calibri"/>
          <w:sz w:val="20"/>
          <w:szCs w:val="20"/>
        </w:rPr>
        <w:t xml:space="preserve">The scan does not auto-commit on detection. The operator must explicitly tap SAVE to write the record, or CANCEL to discard it without logging. This prevents accidental counts from unintended scans. After Save, the cursor returns to the input field automatically. After Cancel, nothing is written and the card is dismissed.</w:t>
      </w:r>
    </w:p>
    <w:p>
      <w:pPr>
        <w:spacing w:after="0" w:before="60"/>
      </w:pPr>
    </w:p>
    <w:p>
      <w:pPr>
        <w:pStyle w:val="Heading2"/>
        <w:spacing w:after="80" w:before="200"/>
      </w:pPr>
      <w:r>
        <w:rPr>
          <w:rFonts w:ascii="Calibri" w:cs="Calibri" w:eastAsia="Calibri" w:hAnsi="Calibri"/>
          <w:b/>
          <w:bCs/>
          <w:color w:val="2E5090"/>
          <w:sz w:val="22"/>
          <w:szCs w:val="22"/>
        </w:rPr>
        <w:t xml:space="preserve">6.6 Flag for Supervisor Review</w:t>
      </w:r>
    </w:p>
    <w:p>
      <w:pPr>
        <w:spacing w:after="60" w:before="60"/>
      </w:pPr>
      <w:r>
        <w:rPr>
          <w:rFonts w:ascii="Calibri" w:cs="Calibri" w:eastAsia="Calibri" w:hAnsi="Calibri"/>
          <w:sz w:val="20"/>
          <w:szCs w:val="20"/>
        </w:rPr>
        <w:t xml:space="preserve">Duplicate and not-found scans display a FLAG ERROR button. The operator can tap this to open a modal, optionally enter a note, and mark the record as flagged. Flagged records are highlighted in the LOG tab. The flag is stored on the record (flagged: true, flagNote: text). In the production system this should trigger a supervisor notification.</w:t>
      </w:r>
    </w:p>
    <w:p>
      <w:pPr>
        <w:spacing w:after="0" w:before="80"/>
      </w:pPr>
    </w:p>
    <w:p>
      <w:pPr>
        <w:pStyle w:val="Heading1"/>
        <w:spacing w:after="100" w:before="300"/>
      </w:pPr>
      <w:r>
        <w:rPr>
          <w:rFonts w:ascii="Calibri" w:cs="Calibri" w:eastAsia="Calibri" w:hAnsi="Calibri"/>
          <w:b/>
          <w:bCs/>
          <w:color w:val="1F3864"/>
          <w:sz w:val="26"/>
          <w:szCs w:val="26"/>
        </w:rPr>
        <w:t xml:space="preserve">7. Scan Record Data Model</w:t>
      </w:r>
    </w:p>
    <w:p>
      <w:pPr>
        <w:spacing w:after="60" w:before="60"/>
      </w:pPr>
      <w:r>
        <w:rPr>
          <w:rFonts w:ascii="Calibri" w:cs="Calibri" w:eastAsia="Calibri" w:hAnsi="Calibri"/>
          <w:sz w:val="20"/>
          <w:szCs w:val="20"/>
        </w:rPr>
        <w:t xml:space="preserve">Each saved scan event produces one record with the following fields: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shd w:fill="D6E4F0" w:val="clear"/>
            <w:tcMar>
              <w:top w:type="dxa" w:w="80"/>
              <w:left w:type="dxa" w:w="100"/>
              <w:bottom w:type="dxa" w:w="80"/>
              <w:right w:type="dxa" w:w="100"/>
            </w:tcMar>
          </w:tcPr>
          <w:p>
            <w:pPr>
              <w:spacing w:after="60" w:before="60"/>
            </w:pPr>
            <w:r>
              <w:rPr>
                <w:rFonts w:ascii="Calibri" w:cs="Calibri" w:eastAsia="Calibri" w:hAnsi="Calibri"/>
                <w:b/>
                <w:bCs/>
                <w:sz w:val="19"/>
                <w:szCs w:val="19"/>
              </w:rPr>
              <w:t xml:space="preserve">Field</w:t>
            </w:r>
          </w:p>
        </w:tc>
        <w:tc>
          <w:tcPr>
            <w:tcW w:type="dxa" w:w="1800"/>
            <w:shd w:fill="D6E4F0" w:val="clear"/>
            <w:tcMar>
              <w:top w:type="dxa" w:w="80"/>
              <w:left w:type="dxa" w:w="100"/>
              <w:bottom w:type="dxa" w:w="80"/>
              <w:right w:type="dxa" w:w="100"/>
            </w:tcMar>
          </w:tcPr>
          <w:p>
            <w:pPr>
              <w:spacing w:after="60" w:before="60"/>
            </w:pPr>
            <w:r>
              <w:rPr>
                <w:rFonts w:ascii="Calibri" w:cs="Calibri" w:eastAsia="Calibri" w:hAnsi="Calibri"/>
                <w:b/>
                <w:bCs/>
                <w:sz w:val="19"/>
                <w:szCs w:val="19"/>
              </w:rPr>
              <w:t xml:space="preserve">Type</w:t>
            </w:r>
          </w:p>
        </w:tc>
        <w:tc>
          <w:tcPr>
            <w:tcW w:type="dxa" w:w="5160"/>
            <w:shd w:fill="D6E4F0" w:val="clear"/>
            <w:tcMar>
              <w:top w:type="dxa" w:w="80"/>
              <w:left w:type="dxa" w:w="100"/>
              <w:bottom w:type="dxa" w:w="80"/>
              <w:right w:type="dxa" w:w="100"/>
            </w:tcMar>
          </w:tcPr>
          <w:p>
            <w:pPr>
              <w:spacing w:after="60" w:before="60"/>
            </w:pPr>
            <w:r>
              <w:rPr>
                <w:rFonts w:ascii="Calibri" w:cs="Calibri" w:eastAsia="Calibri" w:hAnsi="Calibri"/>
                <w:b/>
                <w:bCs/>
                <w:sz w:val="19"/>
                <w:szCs w:val="19"/>
              </w:rPr>
              <w:t xml:space="preserve">Description</w:t>
            </w:r>
          </w:p>
        </w:tc>
      </w:tr>
      <w:tr>
        <w:tc>
          <w:tcPr>
            <w:tcW w:type="dxa" w:w="240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si</w:t>
            </w:r>
          </w:p>
        </w:tc>
        <w:tc>
          <w:tcPr>
            <w:tcW w:type="dxa" w:w="180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String</w:t>
            </w:r>
          </w:p>
        </w:tc>
        <w:tc>
          <w:tcPr>
            <w:tcW w:type="dxa" w:w="516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Item SI No — primary key; unique serial per mattress unit</w:t>
            </w:r>
          </w:p>
        </w:tc>
      </w:tr>
      <w:tr>
        <w:tc>
          <w:tcPr>
            <w:tcW w:type="dxa" w:w="240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ic</w:t>
            </w:r>
          </w:p>
        </w:tc>
        <w:tc>
          <w:tcPr>
            <w:tcW w:type="dxa" w:w="180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String</w:t>
            </w:r>
          </w:p>
        </w:tc>
        <w:tc>
          <w:tcPr>
            <w:tcW w:type="dxa" w:w="516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Item Code — resolved from reference data via IC prefix lookup</w:t>
            </w:r>
          </w:p>
        </w:tc>
      </w:tr>
      <w:tr>
        <w:tc>
          <w:tcPr>
            <w:tcW w:type="dxa" w:w="240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desc</w:t>
            </w:r>
          </w:p>
        </w:tc>
        <w:tc>
          <w:tcPr>
            <w:tcW w:type="dxa" w:w="180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String</w:t>
            </w:r>
          </w:p>
        </w:tc>
        <w:tc>
          <w:tcPr>
            <w:tcW w:type="dxa" w:w="516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Item description (full product name)</w:t>
            </w:r>
          </w:p>
        </w:tc>
      </w:tr>
      <w:tr>
        <w:tc>
          <w:tcPr>
            <w:tcW w:type="dxa" w:w="240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pg</w:t>
            </w:r>
          </w:p>
        </w:tc>
        <w:tc>
          <w:tcPr>
            <w:tcW w:type="dxa" w:w="180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String</w:t>
            </w:r>
          </w:p>
        </w:tc>
        <w:tc>
          <w:tcPr>
            <w:tcW w:type="dxa" w:w="516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Product Group / Brand (Peps Spring, Vista Bond, Cirrus Foam)</w:t>
            </w:r>
          </w:p>
        </w:tc>
      </w:tr>
      <w:tr>
        <w:tc>
          <w:tcPr>
            <w:tcW w:type="dxa" w:w="240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variety</w:t>
            </w:r>
          </w:p>
        </w:tc>
        <w:tc>
          <w:tcPr>
            <w:tcW w:type="dxa" w:w="180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String</w:t>
            </w:r>
          </w:p>
        </w:tc>
        <w:tc>
          <w:tcPr>
            <w:tcW w:type="dxa" w:w="516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Product variety — resolved from Item Code prefix via BRAND_MAP</w:t>
            </w:r>
          </w:p>
        </w:tc>
      </w:tr>
      <w:tr>
        <w:tc>
          <w:tcPr>
            <w:tcW w:type="dxa" w:w="240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segment</w:t>
            </w:r>
          </w:p>
        </w:tc>
        <w:tc>
          <w:tcPr>
            <w:tcW w:type="dxa" w:w="180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String</w:t>
            </w:r>
          </w:p>
        </w:tc>
        <w:tc>
          <w:tcPr>
            <w:tcW w:type="dxa" w:w="516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Segment (Low / Premium / Foam) — derived from Brand</w:t>
            </w:r>
          </w:p>
        </w:tc>
      </w:tr>
      <w:tr>
        <w:tc>
          <w:tcPr>
            <w:tcW w:type="dxa" w:w="240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uprc</w:t>
            </w:r>
          </w:p>
        </w:tc>
        <w:tc>
          <w:tcPr>
            <w:tcW w:type="dxa" w:w="180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String</w:t>
            </w:r>
          </w:p>
        </w:tc>
        <w:tc>
          <w:tcPr>
            <w:tcW w:type="dxa" w:w="516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UPRC Doc No — from reference data</w:t>
            </w:r>
          </w:p>
        </w:tc>
      </w:tr>
      <w:tr>
        <w:tc>
          <w:tcPr>
            <w:tcW w:type="dxa" w:w="240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machine</w:t>
            </w:r>
          </w:p>
        </w:tc>
        <w:tc>
          <w:tcPr>
            <w:tcW w:type="dxa" w:w="180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String</w:t>
            </w:r>
          </w:p>
        </w:tc>
        <w:tc>
          <w:tcPr>
            <w:tcW w:type="dxa" w:w="516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Machine ID (TE-01 to TE-11) — operator-selected at session start</w:t>
            </w:r>
          </w:p>
        </w:tc>
      </w:tr>
      <w:tr>
        <w:tc>
          <w:tcPr>
            <w:tcW w:type="dxa" w:w="240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shift</w:t>
            </w:r>
          </w:p>
        </w:tc>
        <w:tc>
          <w:tcPr>
            <w:tcW w:type="dxa" w:w="180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String</w:t>
            </w:r>
          </w:p>
        </w:tc>
        <w:tc>
          <w:tcPr>
            <w:tcW w:type="dxa" w:w="516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"day" or "night" — auto-derived from system clock at scan time</w:t>
            </w:r>
          </w:p>
        </w:tc>
      </w:tr>
      <w:tr>
        <w:tc>
          <w:tcPr>
            <w:tcW w:type="dxa" w:w="240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date</w:t>
            </w:r>
          </w:p>
        </w:tc>
        <w:tc>
          <w:tcPr>
            <w:tcW w:type="dxa" w:w="180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String</w:t>
            </w:r>
          </w:p>
        </w:tc>
        <w:tc>
          <w:tcPr>
            <w:tcW w:type="dxa" w:w="516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ISO date (YYYY-MM-DD) of scan — used for day-boundary logic</w:t>
            </w:r>
          </w:p>
        </w:tc>
      </w:tr>
      <w:tr>
        <w:tc>
          <w:tcPr>
            <w:tcW w:type="dxa" w:w="240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time</w:t>
            </w:r>
          </w:p>
        </w:tc>
        <w:tc>
          <w:tcPr>
            <w:tcW w:type="dxa" w:w="180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String</w:t>
            </w:r>
          </w:p>
        </w:tc>
        <w:tc>
          <w:tcPr>
            <w:tcW w:type="dxa" w:w="516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HH:MM:SS timestamp of scan</w:t>
            </w:r>
          </w:p>
        </w:tc>
      </w:tr>
      <w:tr>
        <w:tc>
          <w:tcPr>
            <w:tcW w:type="dxa" w:w="240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status</w:t>
            </w:r>
          </w:p>
        </w:tc>
        <w:tc>
          <w:tcPr>
            <w:tcW w:type="dxa" w:w="180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String</w:t>
            </w:r>
          </w:p>
        </w:tc>
        <w:tc>
          <w:tcPr>
            <w:tcW w:type="dxa" w:w="516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"ok" | "not_found" — ok only if Item SI No resolved in reference data</w:t>
            </w:r>
          </w:p>
        </w:tc>
      </w:tr>
      <w:tr>
        <w:tc>
          <w:tcPr>
            <w:tcW w:type="dxa" w:w="240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flagged</w:t>
            </w:r>
          </w:p>
        </w:tc>
        <w:tc>
          <w:tcPr>
            <w:tcW w:type="dxa" w:w="180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Boolean</w:t>
            </w:r>
          </w:p>
        </w:tc>
        <w:tc>
          <w:tcPr>
            <w:tcW w:type="dxa" w:w="516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True if operator or supervisor flagged for review</w:t>
            </w:r>
          </w:p>
        </w:tc>
      </w:tr>
      <w:tr>
        <w:tc>
          <w:tcPr>
            <w:tcW w:type="dxa" w:w="240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flagNote</w:t>
            </w:r>
          </w:p>
        </w:tc>
        <w:tc>
          <w:tcPr>
            <w:tcW w:type="dxa" w:w="180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String</w:t>
            </w:r>
          </w:p>
        </w:tc>
        <w:tc>
          <w:tcPr>
            <w:tcW w:type="dxa" w:w="516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Optional supervisor note text entered at flag time</w:t>
            </w:r>
          </w:p>
        </w:tc>
      </w:tr>
    </w:tbl>
    <w:p>
      <w:pPr>
        <w:spacing w:after="0" w:before="80"/>
      </w:pPr>
    </w:p>
    <w:p>
      <w:pPr>
        <w:pStyle w:val="Heading1"/>
        <w:spacing w:after="100" w:before="300"/>
      </w:pPr>
      <w:r>
        <w:rPr>
          <w:rFonts w:ascii="Calibri" w:cs="Calibri" w:eastAsia="Calibri" w:hAnsi="Calibri"/>
          <w:b/>
          <w:bCs/>
          <w:color w:val="1F3864"/>
          <w:sz w:val="26"/>
          <w:szCs w:val="26"/>
        </w:rPr>
        <w:t xml:space="preserve">8. Application Tabs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D6E4F0" w:val="clear"/>
            <w:tcMar>
              <w:top w:type="dxa" w:w="80"/>
              <w:left w:type="dxa" w:w="100"/>
              <w:bottom w:type="dxa" w:w="80"/>
              <w:right w:type="dxa" w:w="100"/>
            </w:tcMar>
          </w:tcPr>
          <w:p>
            <w:pPr>
              <w:spacing w:after="60" w:before="60"/>
            </w:pPr>
            <w:r>
              <w:rPr>
                <w:rFonts w:ascii="Calibri" w:cs="Calibri" w:eastAsia="Calibri" w:hAnsi="Calibri"/>
                <w:b/>
                <w:bCs/>
                <w:sz w:val="19"/>
                <w:szCs w:val="19"/>
              </w:rPr>
              <w:t xml:space="preserve">Tab</w:t>
            </w:r>
          </w:p>
        </w:tc>
        <w:tc>
          <w:tcPr>
            <w:tcW w:type="dxa" w:w="7560"/>
            <w:shd w:fill="D6E4F0" w:val="clear"/>
            <w:tcMar>
              <w:top w:type="dxa" w:w="80"/>
              <w:left w:type="dxa" w:w="100"/>
              <w:bottom w:type="dxa" w:w="80"/>
              <w:right w:type="dxa" w:w="100"/>
            </w:tcMar>
          </w:tcPr>
          <w:p>
            <w:pPr>
              <w:spacing w:after="60" w:before="60"/>
            </w:pPr>
            <w:r>
              <w:rPr>
                <w:rFonts w:ascii="Calibri" w:cs="Calibri" w:eastAsia="Calibri" w:hAnsi="Calibri"/>
                <w:b/>
                <w:bCs/>
                <w:sz w:val="19"/>
                <w:szCs w:val="19"/>
              </w:rPr>
              <w:t xml:space="preserve">Content</w:t>
            </w:r>
          </w:p>
        </w:tc>
      </w:tr>
      <w:tr>
        <w:tc>
          <w:tcPr>
            <w:tcW w:type="dxa" w:w="180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SCAN</w:t>
            </w:r>
          </w:p>
        </w:tc>
        <w:tc>
          <w:tcPr>
            <w:tcW w:type="dxa" w:w="756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Primary operator interface. Machine selector, camera / manual input, result card, Save / Cancel flow, scan log.</w:t>
            </w:r>
          </w:p>
        </w:tc>
      </w:tr>
      <w:tr>
        <w:tc>
          <w:tcPr>
            <w:tcW w:type="dxa" w:w="180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LOG</w:t>
            </w:r>
          </w:p>
        </w:tc>
        <w:tc>
          <w:tcPr>
            <w:tcW w:type="dxa" w:w="756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Full session scan log — all entries including not-found and flagged. Cannot be cleared while session is active. Persists across Clear Session action.</w:t>
            </w:r>
          </w:p>
        </w:tc>
      </w:tr>
      <w:tr>
        <w:tc>
          <w:tcPr>
            <w:tcW w:type="dxa" w:w="180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BOARD</w:t>
            </w:r>
          </w:p>
        </w:tc>
        <w:tc>
          <w:tcPr>
            <w:tcW w:type="dxa" w:w="756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Real-time shift display board. Machine-wise counts, product group totals, shift totals, previous shift total, running day total. Designed for TV monitor readability.</w:t>
            </w:r>
          </w:p>
        </w:tc>
      </w:tr>
      <w:tr>
        <w:tc>
          <w:tcPr>
            <w:tcW w:type="dxa" w:w="180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DASHBOARD</w:t>
            </w:r>
          </w:p>
        </w:tc>
        <w:tc>
          <w:tcPr>
            <w:tcW w:type="dxa" w:w="756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Analytical view. Filters: Shift, Machine, Segment, Variety. KPI cards, machine-wise hourly table, variety-wise breakdown table with per-machine columns, segment-wise bar charts. Export to Excel (Brand-Wise, Machine-Wise, Variety-Wise sheets via SheetJS).</w:t>
            </w:r>
          </w:p>
        </w:tc>
      </w:tr>
      <w:tr>
        <w:tc>
          <w:tcPr>
            <w:tcW w:type="dxa" w:w="180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GUIDE</w:t>
            </w:r>
          </w:p>
        </w:tc>
        <w:tc>
          <w:tcPr>
            <w:tcW w:type="dxa" w:w="756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In-app tester / operator reference. Describes result card colours, what to test, known POC limitations.</w:t>
            </w:r>
          </w:p>
        </w:tc>
      </w:tr>
    </w:tbl>
    <w:p>
      <w:pPr>
        <w:spacing w:after="0" w:before="80"/>
      </w:pPr>
    </w:p>
    <w:p>
      <w:pPr>
        <w:pStyle w:val="Heading1"/>
        <w:spacing w:after="100" w:before="300"/>
      </w:pPr>
      <w:r>
        <w:rPr>
          <w:rFonts w:ascii="Calibri" w:cs="Calibri" w:eastAsia="Calibri" w:hAnsi="Calibri"/>
          <w:b/>
          <w:bCs/>
          <w:color w:val="1F3864"/>
          <w:sz w:val="26"/>
          <w:szCs w:val="26"/>
        </w:rPr>
        <w:t xml:space="preserve">9. Display Board (BOARD Tab)</w:t>
      </w:r>
    </w:p>
    <w:p>
      <w:pPr>
        <w:spacing w:after="60" w:before="60"/>
      </w:pPr>
      <w:r>
        <w:rPr>
          <w:rFonts w:ascii="Calibri" w:cs="Calibri" w:eastAsia="Calibri" w:hAnsi="Calibri"/>
          <w:sz w:val="20"/>
          <w:szCs w:val="20"/>
        </w:rPr>
        <w:t xml:space="preserve">The Board tab is designed to run full-screen on a TV monitor at the Tape Edge department via HDMI from the client device. It shows:</w:t>
      </w:r>
    </w:p>
    <w:p>
      <w:pPr>
        <w:spacing w:after="0" w:before="40"/>
      </w:pPr>
    </w:p>
    <w:p>
      <w:pPr>
        <w:pStyle w:val="ListParagraph"/>
        <w:numPr>
          <w:ilvl w:val="0"/>
          <w:numId w:val="1"/>
        </w:numPr>
        <w:spacing w:after="40" w:before="40"/>
      </w:pPr>
      <w:r>
        <w:rPr>
          <w:rFonts w:ascii="Calibri" w:cs="Calibri" w:eastAsia="Calibri" w:hAnsi="Calibri"/>
          <w:b/>
          <w:bCs/>
          <w:sz w:val="20"/>
          <w:szCs w:val="20"/>
        </w:rPr>
        <w:t xml:space="preserve">Current shift label (DAY / NIGHT) with start time</w:t>
      </w:r>
    </w:p>
    <w:p>
      <w:pPr>
        <w:pStyle w:val="ListParagraph"/>
        <w:numPr>
          <w:ilvl w:val="0"/>
          <w:numId w:val="1"/>
        </w:numPr>
        <w:spacing w:after="40" w:before="40"/>
      </w:pPr>
      <w:r>
        <w:rPr>
          <w:rFonts w:ascii="Calibri" w:cs="Calibri" w:eastAsia="Calibri" w:hAnsi="Calibri"/>
          <w:b w:val="false"/>
          <w:bCs w:val="false"/>
          <w:sz w:val="20"/>
          <w:szCs w:val="20"/>
        </w:rPr>
        <w:t xml:space="preserve">Three shift total cards: Previous shift total, Current shift total (highlighted), Running day total</w:t>
      </w:r>
    </w:p>
    <w:p>
      <w:pPr>
        <w:pStyle w:val="ListParagraph"/>
        <w:numPr>
          <w:ilvl w:val="0"/>
          <w:numId w:val="1"/>
        </w:numPr>
        <w:spacing w:after="40" w:before="40"/>
      </w:pPr>
      <w:r>
        <w:rPr>
          <w:rFonts w:ascii="Calibri" w:cs="Calibri" w:eastAsia="Calibri" w:hAnsi="Calibri"/>
          <w:b w:val="false"/>
          <w:bCs w:val="false"/>
          <w:sz w:val="20"/>
          <w:szCs w:val="20"/>
        </w:rPr>
        <w:t xml:space="preserve">Product Group (Brand) breakdown cards: Peps Spring, Vista Bond, Cirrus Foam, Unknown — each showing current-shift count</w:t>
      </w:r>
    </w:p>
    <w:p>
      <w:pPr>
        <w:pStyle w:val="ListParagraph"/>
        <w:numPr>
          <w:ilvl w:val="0"/>
          <w:numId w:val="1"/>
        </w:numPr>
        <w:spacing w:after="40" w:before="40"/>
      </w:pPr>
      <w:r>
        <w:rPr>
          <w:rFonts w:ascii="Calibri" w:cs="Calibri" w:eastAsia="Calibri" w:hAnsi="Calibri"/>
          <w:b w:val="false"/>
          <w:bCs w:val="false"/>
          <w:sz w:val="20"/>
          <w:szCs w:val="20"/>
        </w:rPr>
        <w:t xml:space="preserve">Machine grid (TE-01 to TE-11): each machine shows its current-shift scan count; machines with at least one scan are highlighted</w:t>
      </w:r>
    </w:p>
    <w:p>
      <w:pPr>
        <w:pStyle w:val="ListParagraph"/>
        <w:numPr>
          <w:ilvl w:val="0"/>
          <w:numId w:val="1"/>
        </w:numPr>
        <w:spacing w:after="40" w:before="40"/>
      </w:pPr>
      <w:r>
        <w:rPr>
          <w:rFonts w:ascii="Calibri" w:cs="Calibri" w:eastAsia="Calibri" w:hAnsi="Calibri"/>
          <w:b w:val="false"/>
          <w:bCs w:val="false"/>
          <w:sz w:val="20"/>
          <w:szCs w:val="20"/>
        </w:rPr>
        <w:t xml:space="preserve">Segment-wise breakdown table: rows per segment (Low / Premium / Foam), columns for Current Shift scans and Previous Shift scans, row total</w:t>
      </w:r>
    </w:p>
    <w:p>
      <w:pPr>
        <w:spacing w:after="0" w:before="60"/>
      </w:pPr>
    </w:p>
    <w:p>
      <w:pPr>
        <w:spacing w:after="60" w:before="60"/>
      </w:pPr>
      <w:r>
        <w:rPr>
          <w:rFonts w:ascii="Calibri" w:cs="Calibri" w:eastAsia="Calibri" w:hAnsi="Calibri"/>
          <w:sz w:val="20"/>
          <w:szCs w:val="20"/>
        </w:rPr>
        <w:t xml:space="preserve">The Board tab is updated every time a scan is saved. In the production system, it should auto-refresh from the server on a polling interval (30 seconds or less).</w:t>
      </w:r>
    </w:p>
    <w:p>
      <w:pPr>
        <w:spacing w:after="0" w:before="80"/>
      </w:pPr>
    </w:p>
    <w:p>
      <w:pPr>
        <w:pStyle w:val="Heading1"/>
        <w:spacing w:after="100" w:before="300"/>
      </w:pPr>
      <w:r>
        <w:rPr>
          <w:rFonts w:ascii="Calibri" w:cs="Calibri" w:eastAsia="Calibri" w:hAnsi="Calibri"/>
          <w:b/>
          <w:bCs/>
          <w:color w:val="1F3864"/>
          <w:sz w:val="26"/>
          <w:szCs w:val="26"/>
        </w:rPr>
        <w:t xml:space="preserve">10. Dashboard (DASHBOARD Tab)</w:t>
      </w:r>
    </w:p>
    <w:p>
      <w:pPr>
        <w:spacing w:after="60" w:before="60"/>
      </w:pPr>
      <w:r>
        <w:rPr>
          <w:rFonts w:ascii="Calibri" w:cs="Calibri" w:eastAsia="Calibri" w:hAnsi="Calibri"/>
          <w:sz w:val="20"/>
          <w:szCs w:val="20"/>
        </w:rPr>
        <w:t xml:space="preserve">The Dashboard provides analytical views on the scan log for the current session. Four filters are available simultaneously: Shift (All / Day / Night), Machine (All / TE-01 to TE-11), Segment (All / Low / Premium / Foam), Variety (All / individual varieties from scanned data).</w:t>
      </w:r>
    </w:p>
    <w:p>
      <w:pPr>
        <w:spacing w:after="0" w:before="60"/>
      </w:pPr>
    </w:p>
    <w:p>
      <w:pPr>
        <w:pStyle w:val="Heading2"/>
        <w:spacing w:after="80" w:before="200"/>
      </w:pPr>
      <w:r>
        <w:rPr>
          <w:rFonts w:ascii="Calibri" w:cs="Calibri" w:eastAsia="Calibri" w:hAnsi="Calibri"/>
          <w:b/>
          <w:bCs/>
          <w:color w:val="2E5090"/>
          <w:sz w:val="22"/>
          <w:szCs w:val="22"/>
        </w:rPr>
        <w:t xml:space="preserve">10.1 KPI Cards</w:t>
      </w:r>
    </w:p>
    <w:p>
      <w:pPr>
        <w:pStyle w:val="ListParagraph"/>
        <w:numPr>
          <w:ilvl w:val="0"/>
          <w:numId w:val="1"/>
        </w:numPr>
        <w:spacing w:after="40" w:before="40"/>
      </w:pPr>
      <w:r>
        <w:rPr>
          <w:rFonts w:ascii="Calibri" w:cs="Calibri" w:eastAsia="Calibri" w:hAnsi="Calibri"/>
          <w:b w:val="false"/>
          <w:bCs w:val="false"/>
          <w:sz w:val="20"/>
          <w:szCs w:val="20"/>
        </w:rPr>
        <w:t xml:space="preserve">Total Scans — count of all records with status "ok" matching filters</w:t>
      </w:r>
    </w:p>
    <w:p>
      <w:pPr>
        <w:pStyle w:val="ListParagraph"/>
        <w:numPr>
          <w:ilvl w:val="0"/>
          <w:numId w:val="1"/>
        </w:numPr>
        <w:spacing w:after="40" w:before="40"/>
      </w:pPr>
      <w:r>
        <w:rPr>
          <w:rFonts w:ascii="Calibri" w:cs="Calibri" w:eastAsia="Calibri" w:hAnsi="Calibri"/>
          <w:b w:val="false"/>
          <w:bCs w:val="false"/>
          <w:sz w:val="20"/>
          <w:szCs w:val="20"/>
        </w:rPr>
        <w:t xml:space="preserve">Machines Active — count of distinct machines with at least one ok scan</w:t>
      </w:r>
    </w:p>
    <w:p>
      <w:pPr>
        <w:pStyle w:val="ListParagraph"/>
        <w:numPr>
          <w:ilvl w:val="0"/>
          <w:numId w:val="1"/>
        </w:numPr>
        <w:spacing w:after="40" w:before="40"/>
      </w:pPr>
      <w:r>
        <w:rPr>
          <w:rFonts w:ascii="Calibri" w:cs="Calibri" w:eastAsia="Calibri" w:hAnsi="Calibri"/>
          <w:b w:val="false"/>
          <w:bCs w:val="false"/>
          <w:sz w:val="20"/>
          <w:szCs w:val="20"/>
        </w:rPr>
        <w:t xml:space="preserve">Top Machine — machine with highest ok scan count in filter</w:t>
      </w:r>
    </w:p>
    <w:p>
      <w:pPr>
        <w:pStyle w:val="ListParagraph"/>
        <w:numPr>
          <w:ilvl w:val="0"/>
          <w:numId w:val="1"/>
        </w:numPr>
        <w:spacing w:after="40" w:before="40"/>
      </w:pPr>
      <w:r>
        <w:rPr>
          <w:rFonts w:ascii="Calibri" w:cs="Calibri" w:eastAsia="Calibri" w:hAnsi="Calibri"/>
          <w:b w:val="false"/>
          <w:bCs w:val="false"/>
          <w:sz w:val="20"/>
          <w:szCs w:val="20"/>
        </w:rPr>
        <w:t xml:space="preserve">Top Brand — product group with highest ok scan count in filter</w:t>
      </w:r>
    </w:p>
    <w:p>
      <w:pPr>
        <w:spacing w:after="0" w:before="60"/>
      </w:pPr>
    </w:p>
    <w:p>
      <w:pPr>
        <w:pStyle w:val="Heading2"/>
        <w:spacing w:after="80" w:before="200"/>
      </w:pPr>
      <w:r>
        <w:rPr>
          <w:rFonts w:ascii="Calibri" w:cs="Calibri" w:eastAsia="Calibri" w:hAnsi="Calibri"/>
          <w:b/>
          <w:bCs/>
          <w:color w:val="2E5090"/>
          <w:sz w:val="22"/>
          <w:szCs w:val="22"/>
        </w:rPr>
        <w:t xml:space="preserve">10.2 Machine-Wise Hourly Table</w:t>
      </w:r>
    </w:p>
    <w:p>
      <w:pPr>
        <w:spacing w:after="60" w:before="60"/>
      </w:pPr>
      <w:r>
        <w:rPr>
          <w:rFonts w:ascii="Calibri" w:cs="Calibri" w:eastAsia="Calibri" w:hAnsi="Calibri"/>
          <w:sz w:val="20"/>
          <w:szCs w:val="20"/>
        </w:rPr>
        <w:t xml:space="preserve">A cross-tab table: rows are machines (TE-01 to TE-11), columns are hour slots (e.g. 08:00, 09:00 … for day shift; 20:00, 21:00 … for night shift). Each cell shows the count of ok scans for that machine in that hour. A row total column and a total row are included. The table is horizontally scrollable on small screens.</w:t>
      </w:r>
    </w:p>
    <w:p>
      <w:pPr>
        <w:spacing w:after="0" w:before="60"/>
      </w:pPr>
    </w:p>
    <w:p>
      <w:pPr>
        <w:pStyle w:val="Heading2"/>
        <w:spacing w:after="80" w:before="200"/>
      </w:pPr>
      <w:r>
        <w:rPr>
          <w:rFonts w:ascii="Calibri" w:cs="Calibri" w:eastAsia="Calibri" w:hAnsi="Calibri"/>
          <w:b/>
          <w:bCs/>
          <w:color w:val="2E5090"/>
          <w:sz w:val="22"/>
          <w:szCs w:val="22"/>
        </w:rPr>
        <w:t xml:space="preserve">10.3 Variety-Wise Breakdown Table</w:t>
      </w:r>
    </w:p>
    <w:p>
      <w:pPr>
        <w:spacing w:after="60" w:before="60"/>
      </w:pPr>
      <w:r>
        <w:rPr>
          <w:rFonts w:ascii="Calibri" w:cs="Calibri" w:eastAsia="Calibri" w:hAnsi="Calibri"/>
          <w:sz w:val="20"/>
          <w:szCs w:val="20"/>
        </w:rPr>
        <w:t xml:space="preserve">Rows are distinct varieties. Columns: Variety, Brand, Segment, one column per machine (TE-01 to TE-11), Total. Cells show per-machine count for each variety. A total row at the bottom sums each column.</w:t>
      </w:r>
    </w:p>
    <w:p>
      <w:pPr>
        <w:spacing w:after="0" w:before="60"/>
      </w:pPr>
    </w:p>
    <w:p>
      <w:pPr>
        <w:pStyle w:val="Heading2"/>
        <w:spacing w:after="80" w:before="200"/>
      </w:pPr>
      <w:r>
        <w:rPr>
          <w:rFonts w:ascii="Calibri" w:cs="Calibri" w:eastAsia="Calibri" w:hAnsi="Calibri"/>
          <w:b/>
          <w:bCs/>
          <w:color w:val="2E5090"/>
          <w:sz w:val="22"/>
          <w:szCs w:val="22"/>
        </w:rPr>
        <w:t xml:space="preserve">10.4 Segment Bar Chart</w:t>
      </w:r>
    </w:p>
    <w:p>
      <w:pPr>
        <w:spacing w:after="60" w:before="60"/>
      </w:pPr>
      <w:r>
        <w:rPr>
          <w:rFonts w:ascii="Calibri" w:cs="Calibri" w:eastAsia="Calibri" w:hAnsi="Calibri"/>
          <w:sz w:val="20"/>
          <w:szCs w:val="20"/>
        </w:rPr>
        <w:t xml:space="preserve">Horizontal bar chart rendered in HTML/CSS showing proportional scan counts by segment (Low / Premium / Foam) for the filtered data. Bar width is proportional to the segment's share of total scans.</w:t>
      </w:r>
    </w:p>
    <w:p>
      <w:pPr>
        <w:spacing w:after="0" w:before="80"/>
      </w:pPr>
    </w:p>
    <w:p>
      <w:pPr>
        <w:pStyle w:val="Heading1"/>
        <w:spacing w:after="100" w:before="300"/>
      </w:pPr>
      <w:r>
        <w:rPr>
          <w:rFonts w:ascii="Calibri" w:cs="Calibri" w:eastAsia="Calibri" w:hAnsi="Calibri"/>
          <w:b/>
          <w:bCs/>
          <w:color w:val="1F3864"/>
          <w:sz w:val="26"/>
          <w:szCs w:val="26"/>
        </w:rPr>
        <w:t xml:space="preserve">11. Excel Export</w:t>
      </w:r>
    </w:p>
    <w:p>
      <w:pPr>
        <w:spacing w:after="60" w:before="60"/>
      </w:pPr>
      <w:r>
        <w:rPr>
          <w:rFonts w:ascii="Calibri" w:cs="Calibri" w:eastAsia="Calibri" w:hAnsi="Calibri"/>
          <w:sz w:val="20"/>
          <w:szCs w:val="20"/>
        </w:rPr>
        <w:t xml:space="preserve">Available from the DASHBOARD tab. A date range can be selected (from / to) to filter the export. SheetJS (XLSX.js) generates a workbook client-side with three sheets: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D6E4F0" w:val="clear"/>
            <w:tcMar>
              <w:top w:type="dxa" w:w="80"/>
              <w:left w:type="dxa" w:w="100"/>
              <w:bottom w:type="dxa" w:w="80"/>
              <w:right w:type="dxa" w:w="100"/>
            </w:tcMar>
          </w:tcPr>
          <w:p>
            <w:pPr>
              <w:spacing w:after="60" w:before="60"/>
            </w:pPr>
            <w:r>
              <w:rPr>
                <w:rFonts w:ascii="Calibri" w:cs="Calibri" w:eastAsia="Calibri" w:hAnsi="Calibri"/>
                <w:b/>
                <w:bCs/>
                <w:sz w:val="19"/>
                <w:szCs w:val="19"/>
              </w:rPr>
              <w:t xml:space="preserve">Sheet</w:t>
            </w:r>
          </w:p>
        </w:tc>
        <w:tc>
          <w:tcPr>
            <w:tcW w:type="dxa" w:w="6960"/>
            <w:shd w:fill="D6E4F0" w:val="clear"/>
            <w:tcMar>
              <w:top w:type="dxa" w:w="80"/>
              <w:left w:type="dxa" w:w="100"/>
              <w:bottom w:type="dxa" w:w="80"/>
              <w:right w:type="dxa" w:w="100"/>
            </w:tcMar>
          </w:tcPr>
          <w:p>
            <w:pPr>
              <w:spacing w:after="60" w:before="60"/>
            </w:pPr>
            <w:r>
              <w:rPr>
                <w:rFonts w:ascii="Calibri" w:cs="Calibri" w:eastAsia="Calibri" w:hAnsi="Calibri"/>
                <w:b/>
                <w:bCs/>
                <w:sz w:val="19"/>
                <w:szCs w:val="19"/>
              </w:rPr>
              <w:t xml:space="preserve">Content</w:t>
            </w:r>
          </w:p>
        </w:tc>
      </w:tr>
      <w:tr>
        <w:tc>
          <w:tcPr>
            <w:tcW w:type="dxa" w:w="240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Brand-Wise</w:t>
            </w:r>
          </w:p>
        </w:tc>
        <w:tc>
          <w:tcPr>
            <w:tcW w:type="dxa" w:w="696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Brand (Product Group) → Count for date range selected</w:t>
            </w:r>
          </w:p>
        </w:tc>
      </w:tr>
      <w:tr>
        <w:tc>
          <w:tcPr>
            <w:tcW w:type="dxa" w:w="240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Machine-Wise</w:t>
            </w:r>
          </w:p>
        </w:tc>
        <w:tc>
          <w:tcPr>
            <w:tcW w:type="dxa" w:w="696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Machine → Day Shift count, Night Shift count, Total</w:t>
            </w:r>
          </w:p>
        </w:tc>
      </w:tr>
      <w:tr>
        <w:tc>
          <w:tcPr>
            <w:tcW w:type="dxa" w:w="240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Variety-Wise</w:t>
            </w:r>
          </w:p>
        </w:tc>
        <w:tc>
          <w:tcPr>
            <w:tcW w:type="dxa" w:w="696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Variety → Brand, Segment, count per machine, Total</w:t>
            </w:r>
          </w:p>
        </w:tc>
      </w:tr>
    </w:tbl>
    <w:p>
      <w:pPr>
        <w:spacing w:after="0" w:before="80"/>
      </w:pPr>
    </w:p>
    <w:p>
      <w:pPr>
        <w:spacing w:after="60" w:before="60"/>
      </w:pPr>
      <w:r>
        <w:rPr>
          <w:rFonts w:ascii="Calibri" w:cs="Calibri" w:eastAsia="Calibri" w:hAnsi="Calibri"/>
          <w:sz w:val="20"/>
          <w:szCs w:val="20"/>
        </w:rPr>
        <w:t xml:space="preserve">The export file is named TapeEdge_FROMDATE_TODATE.xlsx and downloaded directly to the device.</w:t>
      </w:r>
    </w:p>
    <w:p>
      <w:pPr>
        <w:spacing w:after="0" w:before="80"/>
      </w:pPr>
    </w:p>
    <w:p>
      <w:pPr>
        <w:pStyle w:val="Heading1"/>
        <w:spacing w:after="100" w:before="300"/>
      </w:pPr>
      <w:r>
        <w:rPr>
          <w:rFonts w:ascii="Calibri" w:cs="Calibri" w:eastAsia="Calibri" w:hAnsi="Calibri"/>
          <w:b/>
          <w:bCs/>
          <w:color w:val="1F3864"/>
          <w:sz w:val="26"/>
          <w:szCs w:val="26"/>
        </w:rPr>
        <w:t xml:space="preserve">12. Session Management</w:t>
      </w:r>
    </w:p>
    <w:p>
      <w:pPr>
        <w:pStyle w:val="ListParagraph"/>
        <w:numPr>
          <w:ilvl w:val="0"/>
          <w:numId w:val="1"/>
        </w:numPr>
        <w:spacing w:after="40" w:before="40"/>
      </w:pPr>
      <w:r>
        <w:rPr>
          <w:rFonts w:ascii="Calibri" w:cs="Calibri" w:eastAsia="Calibri" w:hAnsi="Calibri"/>
          <w:b w:val="false"/>
          <w:bCs w:val="false"/>
          <w:sz w:val="20"/>
          <w:szCs w:val="20"/>
        </w:rPr>
        <w:t xml:space="preserve">The session starts when the operator uploads an Excel file or chooses built-in data.</w:t>
      </w:r>
    </w:p>
    <w:p>
      <w:pPr>
        <w:pStyle w:val="ListParagraph"/>
        <w:numPr>
          <w:ilvl w:val="0"/>
          <w:numId w:val="1"/>
        </w:numPr>
        <w:spacing w:after="40" w:before="40"/>
      </w:pPr>
      <w:r>
        <w:rPr>
          <w:rFonts w:ascii="Calibri" w:cs="Calibri" w:eastAsia="Calibri" w:hAnsi="Calibri"/>
          <w:b w:val="false"/>
          <w:bCs w:val="false"/>
          <w:sz w:val="20"/>
          <w:szCs w:val="20"/>
        </w:rPr>
        <w:t xml:space="preserve">Machine selection persists for the session; the operator can change it at any time.</w:t>
      </w:r>
    </w:p>
    <w:p>
      <w:pPr>
        <w:pStyle w:val="ListParagraph"/>
        <w:numPr>
          <w:ilvl w:val="0"/>
          <w:numId w:val="1"/>
        </w:numPr>
        <w:spacing w:after="40" w:before="40"/>
      </w:pPr>
      <w:r>
        <w:rPr>
          <w:rFonts w:ascii="Calibri" w:cs="Calibri" w:eastAsia="Calibri" w:hAnsi="Calibri"/>
          <w:b w:val="false"/>
          <w:bCs w:val="false"/>
          <w:sz w:val="20"/>
          <w:szCs w:val="20"/>
        </w:rPr>
        <w:t xml:space="preserve">Clear Session resets scans and the scanned-SI index but the LOG tab is not cleared — the log accumulates across session resets as an audit trail.</w:t>
      </w:r>
    </w:p>
    <w:p>
      <w:pPr>
        <w:pStyle w:val="ListParagraph"/>
        <w:numPr>
          <w:ilvl w:val="0"/>
          <w:numId w:val="1"/>
        </w:numPr>
        <w:spacing w:after="40" w:before="40"/>
      </w:pPr>
      <w:r>
        <w:rPr>
          <w:rFonts w:ascii="Calibri" w:cs="Calibri" w:eastAsia="Calibri" w:hAnsi="Calibri"/>
          <w:b w:val="false"/>
          <w:bCs w:val="false"/>
          <w:sz w:val="20"/>
          <w:szCs w:val="20"/>
        </w:rPr>
        <w:t xml:space="preserve">Page refresh wipes all in-memory data (POC limitation; production must persist to SQL Server).</w:t>
      </w:r>
    </w:p>
    <w:p>
      <w:pPr>
        <w:spacing w:after="0" w:before="80"/>
      </w:pPr>
    </w:p>
    <w:p>
      <w:pPr>
        <w:pStyle w:val="Heading1"/>
        <w:spacing w:after="100" w:before="300"/>
      </w:pPr>
      <w:r>
        <w:rPr>
          <w:rFonts w:ascii="Calibri" w:cs="Calibri" w:eastAsia="Calibri" w:hAnsi="Calibri"/>
          <w:b/>
          <w:bCs/>
          <w:color w:val="1F3864"/>
          <w:sz w:val="26"/>
          <w:szCs w:val="26"/>
        </w:rPr>
        <w:t xml:space="preserve">13. Known POC Limitations</w:t>
      </w:r>
    </w:p>
    <w:p>
      <w:pPr>
        <w:spacing w:after="60" w:before="60"/>
      </w:pPr>
      <w:r>
        <w:rPr>
          <w:rFonts w:ascii="Calibri" w:cs="Calibri" w:eastAsia="Calibri" w:hAnsi="Calibri"/>
          <w:sz w:val="20"/>
          <w:szCs w:val="20"/>
        </w:rPr>
        <w:t xml:space="preserve">The following are known limitations of the POC that the production system must address:</w:t>
      </w:r>
    </w:p>
    <w:p>
      <w:pPr>
        <w:spacing w:after="0" w:before="40"/>
      </w:pPr>
    </w:p>
    <w:p>
      <w:pPr>
        <w:pStyle w:val="ListParagraph"/>
        <w:numPr>
          <w:ilvl w:val="0"/>
          <w:numId w:val="1"/>
        </w:numPr>
        <w:spacing w:after="40" w:before="40"/>
      </w:pPr>
      <w:r>
        <w:rPr>
          <w:rFonts w:ascii="Calibri" w:cs="Calibri" w:eastAsia="Calibri" w:hAnsi="Calibri"/>
          <w:b w:val="false"/>
          <w:bCs w:val="false"/>
          <w:sz w:val="20"/>
          <w:szCs w:val="20"/>
        </w:rPr>
        <w:t xml:space="preserve">No server or database — all data is in browser memory and lost on page refresh. Production requires SQL Server persistence.</w:t>
      </w:r>
    </w:p>
    <w:p>
      <w:pPr>
        <w:pStyle w:val="ListParagraph"/>
        <w:numPr>
          <w:ilvl w:val="0"/>
          <w:numId w:val="1"/>
        </w:numPr>
        <w:spacing w:after="40" w:before="40"/>
      </w:pPr>
      <w:r>
        <w:rPr>
          <w:rFonts w:ascii="Calibri" w:cs="Calibri" w:eastAsia="Calibri" w:hAnsi="Calibri"/>
          <w:b w:val="false"/>
          <w:bCs w:val="false"/>
          <w:sz w:val="20"/>
          <w:szCs w:val="20"/>
        </w:rPr>
        <w:t xml:space="preserve">No multi-device sync — the POC runs independently per browser tab. Production requires a central server serving real-time data to all 11 machines.</w:t>
      </w:r>
    </w:p>
    <w:p>
      <w:pPr>
        <w:pStyle w:val="ListParagraph"/>
        <w:numPr>
          <w:ilvl w:val="0"/>
          <w:numId w:val="1"/>
        </w:numPr>
        <w:spacing w:after="40" w:before="40"/>
      </w:pPr>
      <w:r>
        <w:rPr>
          <w:rFonts w:ascii="Calibri" w:cs="Calibri" w:eastAsia="Calibri" w:hAnsi="Calibri"/>
          <w:b w:val="false"/>
          <w:bCs w:val="false"/>
          <w:sz w:val="20"/>
          <w:szCs w:val="20"/>
        </w:rPr>
        <w:t xml:space="preserve">Camera requires HTTPS or localhost — the POC camera feature does not work over plain HTTP on Android Chrome. Production with HID scanner avoids this dependency.</w:t>
      </w:r>
    </w:p>
    <w:p>
      <w:pPr>
        <w:pStyle w:val="ListParagraph"/>
        <w:numPr>
          <w:ilvl w:val="0"/>
          <w:numId w:val="1"/>
        </w:numPr>
        <w:spacing w:after="40" w:before="40"/>
      </w:pPr>
      <w:r>
        <w:rPr>
          <w:rFonts w:ascii="Calibri" w:cs="Calibri" w:eastAsia="Calibri" w:hAnsi="Calibri"/>
          <w:b w:val="false"/>
          <w:bCs w:val="false"/>
          <w:sz w:val="20"/>
          <w:szCs w:val="20"/>
        </w:rPr>
        <w:t xml:space="preserve">No operator authentication — the POC has no login. Production should have at minimum a machine-level session identity.</w:t>
      </w:r>
    </w:p>
    <w:p>
      <w:pPr>
        <w:pStyle w:val="ListParagraph"/>
        <w:numPr>
          <w:ilvl w:val="0"/>
          <w:numId w:val="1"/>
        </w:numPr>
        <w:spacing w:after="40" w:before="40"/>
      </w:pPr>
      <w:r>
        <w:rPr>
          <w:rFonts w:ascii="Calibri" w:cs="Calibri" w:eastAsia="Calibri" w:hAnsi="Calibri"/>
          <w:b w:val="false"/>
          <w:bCs w:val="false"/>
          <w:sz w:val="20"/>
          <w:szCs w:val="20"/>
        </w:rPr>
        <w:t xml:space="preserve">Reference data is session-scoped — the item master is uploaded fresh each session. Production replaces this with a SQL Server reference table synced from Ramco (via /GetItemDetails API or nightly extract), with offline fallback.</w:t>
      </w:r>
    </w:p>
    <w:p>
      <w:pPr>
        <w:pStyle w:val="ListParagraph"/>
        <w:numPr>
          <w:ilvl w:val="0"/>
          <w:numId w:val="1"/>
        </w:numPr>
        <w:spacing w:after="40" w:before="40"/>
      </w:pPr>
      <w:r>
        <w:rPr>
          <w:rFonts w:ascii="Calibri" w:cs="Calibri" w:eastAsia="Calibri" w:hAnsi="Calibri"/>
          <w:b w:val="false"/>
          <w:bCs w:val="false"/>
          <w:sz w:val="20"/>
          <w:szCs w:val="20"/>
        </w:rPr>
        <w:t xml:space="preserve">No QC integration — the POC covers Tape Edge scan only. QC scan app is a separate scope item.</w:t>
      </w:r>
    </w:p>
    <w:p>
      <w:pPr>
        <w:pStyle w:val="ListParagraph"/>
        <w:numPr>
          <w:ilvl w:val="0"/>
          <w:numId w:val="1"/>
        </w:numPr>
        <w:spacing w:after="40" w:before="40"/>
      </w:pPr>
      <w:r>
        <w:rPr>
          <w:rFonts w:ascii="Calibri" w:cs="Calibri" w:eastAsia="Calibri" w:hAnsi="Calibri"/>
          <w:b w:val="false"/>
          <w:bCs w:val="false"/>
          <w:sz w:val="20"/>
          <w:szCs w:val="20"/>
        </w:rPr>
        <w:t xml:space="preserve">No ERP write — the POC does not write to Ramco or any intermediary table. Production Tape Edge scan does not require ERP write (O-18 is triggered by QC Pass, not TE scan).</w:t>
      </w:r>
    </w:p>
    <w:p>
      <w:pPr>
        <w:spacing w:after="0" w:before="80"/>
      </w:pPr>
    </w:p>
    <w:p>
      <w:pPr>
        <w:pStyle w:val="Heading1"/>
        <w:spacing w:after="100" w:before="300"/>
      </w:pPr>
      <w:r>
        <w:rPr>
          <w:rFonts w:ascii="Calibri" w:cs="Calibri" w:eastAsia="Calibri" w:hAnsi="Calibri"/>
          <w:b/>
          <w:bCs/>
          <w:color w:val="1F3864"/>
          <w:sz w:val="26"/>
          <w:szCs w:val="26"/>
        </w:rPr>
        <w:t xml:space="preserve">14. Interface to Production System</w:t>
      </w:r>
    </w:p>
    <w:p>
      <w:pPr>
        <w:pStyle w:val="ListParagraph"/>
        <w:numPr>
          <w:ilvl w:val="0"/>
          <w:numId w:val="1"/>
        </w:numPr>
        <w:spacing w:after="40" w:before="40"/>
      </w:pPr>
      <w:r>
        <w:rPr>
          <w:rFonts w:ascii="Calibri" w:cs="Calibri" w:eastAsia="Calibri" w:hAnsi="Calibri"/>
          <w:b w:val="false"/>
          <w:bCs w:val="false"/>
          <w:sz w:val="20"/>
          <w:szCs w:val="20"/>
        </w:rPr>
        <w:t xml:space="preserve">production_events table (SQL Server): every confirmed scan must be written to this table. Item SI No is the primary key linking to downstream QC records and ERP updates.</w:t>
      </w:r>
    </w:p>
    <w:p>
      <w:pPr>
        <w:pStyle w:val="ListParagraph"/>
        <w:numPr>
          <w:ilvl w:val="0"/>
          <w:numId w:val="1"/>
        </w:numPr>
        <w:spacing w:after="40" w:before="40"/>
      </w:pPr>
      <w:r>
        <w:rPr>
          <w:rFonts w:ascii="Calibri" w:cs="Calibri" w:eastAsia="Calibri" w:hAnsi="Calibri"/>
          <w:b w:val="false"/>
          <w:bCs w:val="false"/>
          <w:sz w:val="20"/>
          <w:szCs w:val="20"/>
        </w:rPr>
        <w:t xml:space="preserve">Shift definitions: Day 08:00–20:00, Night 20:00–08:00 must be consistent across all MES modules.</w:t>
      </w:r>
    </w:p>
    <w:p>
      <w:pPr>
        <w:pStyle w:val="ListParagraph"/>
        <w:numPr>
          <w:ilvl w:val="0"/>
          <w:numId w:val="1"/>
        </w:numPr>
        <w:spacing w:after="40" w:before="40"/>
      </w:pPr>
      <w:r>
        <w:rPr>
          <w:rFonts w:ascii="Calibri" w:cs="Calibri" w:eastAsia="Calibri" w:hAnsi="Calibri"/>
          <w:b w:val="false"/>
          <w:bCs w:val="false"/>
          <w:sz w:val="20"/>
          <w:szCs w:val="20"/>
        </w:rPr>
        <w:t xml:space="preserve">Item master reference: to be sourced from /GetItemDetails (Ramco API) or an equivalent nightly sync. The POC's BRAND_MAP prefix logic and SEGMENT mapping should be replicated in the production item resolution layer.</w:t>
      </w:r>
    </w:p>
    <w:p>
      <w:pPr>
        <w:pStyle w:val="ListParagraph"/>
        <w:numPr>
          <w:ilvl w:val="0"/>
          <w:numId w:val="1"/>
        </w:numPr>
        <w:spacing w:after="40" w:before="40"/>
      </w:pPr>
      <w:r>
        <w:rPr>
          <w:rFonts w:ascii="Calibri" w:cs="Calibri" w:eastAsia="Calibri" w:hAnsi="Calibri"/>
          <w:b w:val="false"/>
          <w:bCs w:val="false"/>
          <w:sz w:val="20"/>
          <w:szCs w:val="20"/>
        </w:rPr>
        <w:t xml:space="preserve">Clinching calculation (per Kalanjiyam proposal Section 4.6): clinching inventory = assembly count minus Tape Edge scan count. This calculation depends on the completeness and accuracy of Tape Edge scan records. Data quality is a hard requirement.</w:t>
      </w:r>
    </w:p>
    <w:p>
      <w:pPr>
        <w:spacing w:after="0" w:before="120"/>
      </w:pPr>
    </w:p>
    <w:p>
      <w:pPr>
        <w:pBdr>
          <w:bottom w:val="single" w:color="CCCCCC" w:sz="6"/>
        </w:pBdr>
        <w:spacing w:after="120" w:before="120"/>
      </w:pPr>
    </w:p>
    <w:p>
      <w:pPr>
        <w:spacing w:after="0" w:before="80"/>
        <w:jc w:val="center"/>
      </w:pPr>
      <w:r>
        <w:rPr>
          <w:rFonts w:ascii="Calibri" w:cs="Calibri" w:eastAsia="Calibri" w:hAnsi="Calibri"/>
          <w:color w:val="888888"/>
          <w:sz w:val="16"/>
          <w:szCs w:val="16"/>
        </w:rPr>
        <w:t xml:space="preserve">Peps Industries Pvt. Ltd. — IT Department  |  Confidential</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2026-08-06T12:43:20.580Z</dcterms:created>
  <dcterms:modified xsi:type="dcterms:W3CDTF">2026-08-06T12:43:20.645Z</dcterms:modified>
</cp:coreProperties>
</file>

<file path=docProps/custom.xml><?xml version="1.0" encoding="utf-8"?>
<Properties xmlns="http://schemas.openxmlformats.org/officeDocument/2006/custom-properties" xmlns:vt="http://schemas.openxmlformats.org/officeDocument/2006/docPropsVTypes"/>
</file>