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Calibri" w:cs="Calibri" w:eastAsia="Calibri" w:hAnsi="Calibri"/>
          <w:b/>
          <w:bCs/>
          <w:color w:val="1F3864"/>
          <w:sz w:val="32"/>
          <w:szCs w:val="32"/>
        </w:rPr>
        <w:t xml:space="preserve">Tape Edge Automation — Handover Note</w:t>
      </w:r>
    </w:p>
    <w:p>
      <w:pPr>
        <w:spacing w:after="40" w:before="0"/>
      </w:pPr>
      <w:r>
        <w:rPr>
          <w:rFonts w:ascii="Calibri" w:cs="Calibri" w:eastAsia="Calibri" w:hAnsi="Calibri"/>
          <w:color w:val="555555"/>
          <w:sz w:val="20"/>
          <w:szCs w:val="20"/>
        </w:rPr>
        <w:t xml:space="preserve">Prepared for: Hari</w:t>
      </w:r>
    </w:p>
    <w:p>
      <w:pPr>
        <w:spacing w:after="40" w:before="0"/>
      </w:pPr>
      <w:r>
        <w:rPr>
          <w:rFonts w:ascii="Calibri" w:cs="Calibri" w:eastAsia="Calibri" w:hAnsi="Calibri"/>
          <w:color w:val="555555"/>
          <w:sz w:val="20"/>
          <w:szCs w:val="20"/>
        </w:rPr>
        <w:t xml:space="preserve">Prepared by: PEPS Industries Pvt. Ltd. — IT</w:t>
      </w:r>
    </w:p>
    <w:p>
      <w:pPr>
        <w:spacing w:after="80" w:before="0"/>
      </w:pPr>
      <w:r>
        <w:rPr>
          <w:rFonts w:ascii="Calibri" w:cs="Calibri" w:eastAsia="Calibri" w:hAnsi="Calibri"/>
          <w:color w:val="555555"/>
          <w:sz w:val="20"/>
          <w:szCs w:val="20"/>
        </w:rPr>
        <w:t xml:space="preserve">Date: 27 August 2026</w:t>
      </w:r>
    </w:p>
    <w:p>
      <w:pPr>
        <w:pBdr>
          <w:bottom w:val="single" w:color="CCCCCC" w:sz="6"/>
        </w:pBdr>
        <w:spacing w:after="120" w:before="120"/>
      </w:pPr>
    </w:p>
    <w:p>
      <w:pPr>
        <w:pStyle w:val="Heading1"/>
        <w:spacing w:after="100" w:before="280"/>
      </w:pPr>
      <w:r>
        <w:rPr>
          <w:rFonts w:ascii="Calibri" w:cs="Calibri" w:eastAsia="Calibri" w:hAnsi="Calibri"/>
          <w:b/>
          <w:bCs/>
          <w:color w:val="1F3864"/>
          <w:sz w:val="26"/>
          <w:szCs w:val="26"/>
        </w:rPr>
        <w:t xml:space="preserve">1. Purpose</w:t>
      </w:r>
    </w:p>
    <w:p>
      <w:pPr>
        <w:spacing w:after="60" w:before="60"/>
      </w:pPr>
      <w:r>
        <w:rPr>
          <w:rFonts w:ascii="Calibri" w:cs="Calibri" w:eastAsia="Calibri" w:hAnsi="Calibri"/>
          <w:sz w:val="20"/>
          <w:szCs w:val="20"/>
        </w:rPr>
        <w:t xml:space="preserve">This document hands over the Tape Edge automation programme to Hari for independent development work and coordination with Kalanjiyam. It covers what has been built and validated, what Kalanjiyam is building, what PEPS IT owns, and what is immediately open for action.</w:t>
      </w:r>
    </w:p>
    <w:p>
      <w:pPr>
        <w:spacing w:after="0" w:before="80"/>
      </w:pPr>
    </w:p>
    <w:p>
      <w:pPr>
        <w:pStyle w:val="Heading1"/>
        <w:spacing w:after="100" w:before="280"/>
      </w:pPr>
      <w:r>
        <w:rPr>
          <w:rFonts w:ascii="Calibri" w:cs="Calibri" w:eastAsia="Calibri" w:hAnsi="Calibri"/>
          <w:b/>
          <w:bCs/>
          <w:color w:val="1F3864"/>
          <w:sz w:val="26"/>
          <w:szCs w:val="26"/>
        </w:rPr>
        <w:t xml:space="preserve">2. Background</w:t>
      </w:r>
    </w:p>
    <w:p>
      <w:pPr>
        <w:spacing w:after="60" w:before="60"/>
      </w:pPr>
      <w:r>
        <w:rPr>
          <w:rFonts w:ascii="Calibri" w:cs="Calibri" w:eastAsia="Calibri" w:hAnsi="Calibri"/>
          <w:sz w:val="20"/>
          <w:szCs w:val="20"/>
        </w:rPr>
        <w:t xml:space="preserve">The Tape Edge department operates 11 machines (TE-01 to TE-11) across the Spring and Hypnos sections. Production counting is done by scanning the QR code on the MRP sticker affixed to each mattress at the completion of the tape edge process.</w:t>
      </w:r>
    </w:p>
    <w:p>
      <w:pPr>
        <w:spacing w:after="0" w:before="60"/>
      </w:pPr>
    </w:p>
    <w:p>
      <w:pPr>
        <w:spacing w:after="60" w:before="60"/>
      </w:pPr>
      <w:r>
        <w:rPr>
          <w:rFonts w:ascii="Calibri" w:cs="Calibri" w:eastAsia="Calibri" w:hAnsi="Calibri"/>
          <w:sz w:val="20"/>
          <w:szCs w:val="20"/>
        </w:rPr>
        <w:t xml:space="preserve">A proof of concept (POC v2.6) has been built by PEPS IT and validated by Santosh (shop floor tester). The POC is a browser-based prototype with no server backend — it runs in Chrome, stores data in browser memory only, and is not a production deliverable. Kalanjiyam is responsible for the full production build.</w:t>
      </w:r>
    </w:p>
    <w:p>
      <w:pPr>
        <w:spacing w:after="0" w:before="60"/>
      </w:pPr>
    </w:p>
    <w:p>
      <w:pPr>
        <w:spacing w:after="60" w:before="60"/>
      </w:pPr>
      <w:r>
        <w:rPr>
          <w:rFonts w:ascii="Calibri" w:cs="Calibri" w:eastAsia="Calibri" w:hAnsi="Calibri"/>
          <w:sz w:val="20"/>
          <w:szCs w:val="20"/>
        </w:rPr>
        <w:t xml:space="preserve">Kalanjiyam's MES engagement covers the scan application, database integration, and ERP write-back as part of Milestone 2. PEPS IT owns the SQL Server schema, item master sync from Ramco, and network infrastructure.</w:t>
      </w:r>
    </w:p>
    <w:p>
      <w:pPr>
        <w:spacing w:after="0" w:before="80"/>
      </w:pPr>
    </w:p>
    <w:p>
      <w:pPr>
        <w:pStyle w:val="Heading1"/>
        <w:spacing w:after="100" w:before="280"/>
      </w:pPr>
      <w:r>
        <w:rPr>
          <w:rFonts w:ascii="Calibri" w:cs="Calibri" w:eastAsia="Calibri" w:hAnsi="Calibri"/>
          <w:b/>
          <w:bCs/>
          <w:color w:val="1F3864"/>
          <w:sz w:val="26"/>
          <w:szCs w:val="26"/>
        </w:rPr>
        <w:t xml:space="preserve">3. What the POC Validated</w:t>
      </w:r>
    </w:p>
    <w:p>
      <w:pPr>
        <w:pStyle w:val="ListParagraph"/>
        <w:numPr>
          <w:ilvl w:val="0"/>
          <w:numId w:val="1"/>
        </w:numPr>
        <w:spacing w:after="40" w:before="40"/>
      </w:pPr>
      <w:r>
        <w:rPr>
          <w:rFonts w:ascii="Calibri" w:cs="Calibri" w:eastAsia="Calibri" w:hAnsi="Calibri"/>
          <w:sz w:val="20"/>
          <w:szCs w:val="20"/>
        </w:rPr>
        <w:t xml:space="preserve">Scan flow — HID barcode input, QR resolution to Item SI No, item details lookup via BRAND_MAP prefix matching</w:t>
      </w:r>
    </w:p>
    <w:p>
      <w:pPr>
        <w:pStyle w:val="ListParagraph"/>
        <w:numPr>
          <w:ilvl w:val="0"/>
          <w:numId w:val="1"/>
        </w:numPr>
        <w:spacing w:after="40" w:before="40"/>
      </w:pPr>
      <w:r>
        <w:rPr>
          <w:rFonts w:ascii="Calibri" w:cs="Calibri" w:eastAsia="Calibri" w:hAnsi="Calibri"/>
          <w:sz w:val="20"/>
          <w:szCs w:val="20"/>
        </w:rPr>
        <w:t xml:space="preserve">Shift logic — Day 08:00–20:00, Night 20:00–08:00, midnight boundary handling, day total accumulation</w:t>
      </w:r>
    </w:p>
    <w:p>
      <w:pPr>
        <w:pStyle w:val="ListParagraph"/>
        <w:numPr>
          <w:ilvl w:val="0"/>
          <w:numId w:val="1"/>
        </w:numPr>
        <w:spacing w:after="40" w:before="40"/>
      </w:pPr>
      <w:r>
        <w:rPr>
          <w:rFonts w:ascii="Calibri" w:cs="Calibri" w:eastAsia="Calibri" w:hAnsi="Calibri"/>
          <w:sz w:val="20"/>
          <w:szCs w:val="20"/>
        </w:rPr>
        <w:t xml:space="preserve">Duplicate scan detection per shift</w:t>
      </w:r>
    </w:p>
    <w:p>
      <w:pPr>
        <w:pStyle w:val="ListParagraph"/>
        <w:numPr>
          <w:ilvl w:val="0"/>
          <w:numId w:val="1"/>
        </w:numPr>
        <w:spacing w:after="40" w:before="40"/>
      </w:pPr>
      <w:r>
        <w:rPr>
          <w:rFonts w:ascii="Calibri" w:cs="Calibri" w:eastAsia="Calibri" w:hAnsi="Calibri"/>
          <w:sz w:val="20"/>
          <w:szCs w:val="20"/>
        </w:rPr>
        <w:t xml:space="preserve">Save / Cancel confirmation flow — scan does not auto-commit</w:t>
      </w:r>
    </w:p>
    <w:p>
      <w:pPr>
        <w:pStyle w:val="ListParagraph"/>
        <w:numPr>
          <w:ilvl w:val="0"/>
          <w:numId w:val="1"/>
        </w:numPr>
        <w:spacing w:after="40" w:before="40"/>
      </w:pPr>
      <w:r>
        <w:rPr>
          <w:rFonts w:ascii="Calibri" w:cs="Calibri" w:eastAsia="Calibri" w:hAnsi="Calibri"/>
          <w:sz w:val="20"/>
          <w:szCs w:val="20"/>
        </w:rPr>
        <w:t xml:space="preserve">Machine selection — TE-01 to TE-11, persists for session</w:t>
      </w:r>
    </w:p>
    <w:p>
      <w:pPr>
        <w:pStyle w:val="ListParagraph"/>
        <w:numPr>
          <w:ilvl w:val="0"/>
          <w:numId w:val="1"/>
        </w:numPr>
        <w:spacing w:after="40" w:before="40"/>
      </w:pPr>
      <w:r>
        <w:rPr>
          <w:rFonts w:ascii="Calibri" w:cs="Calibri" w:eastAsia="Calibri" w:hAnsi="Calibri"/>
          <w:sz w:val="20"/>
          <w:szCs w:val="20"/>
        </w:rPr>
        <w:t xml:space="preserve">Board tab — machine-wise shift counts, brand/variety breakdown, shift and day totals</w:t>
      </w:r>
    </w:p>
    <w:p>
      <w:pPr>
        <w:pStyle w:val="ListParagraph"/>
        <w:numPr>
          <w:ilvl w:val="0"/>
          <w:numId w:val="1"/>
        </w:numPr>
        <w:spacing w:after="40" w:before="40"/>
      </w:pPr>
      <w:r>
        <w:rPr>
          <w:rFonts w:ascii="Calibri" w:cs="Calibri" w:eastAsia="Calibri" w:hAnsi="Calibri"/>
          <w:sz w:val="20"/>
          <w:szCs w:val="20"/>
        </w:rPr>
        <w:t xml:space="preserve">Dashboard tab — KPI cards, machine-wise hourly table, variety-wise breakdown, segment bar chart, Excel export</w:t>
      </w:r>
    </w:p>
    <w:p>
      <w:pPr>
        <w:pStyle w:val="ListParagraph"/>
        <w:numPr>
          <w:ilvl w:val="0"/>
          <w:numId w:val="1"/>
        </w:numPr>
        <w:spacing w:after="40" w:before="40"/>
      </w:pPr>
      <w:r>
        <w:rPr>
          <w:rFonts w:ascii="Calibri" w:cs="Calibri" w:eastAsia="Calibri" w:hAnsi="Calibri"/>
          <w:sz w:val="20"/>
          <w:szCs w:val="20"/>
        </w:rPr>
        <w:t xml:space="preserve">Brand/variety mapping — 102-prefix BRAND_MAP covering Peps Spring, Vista Bond, Cirrus Foam</w:t>
      </w:r>
    </w:p>
    <w:p>
      <w:pPr>
        <w:spacing w:after="0" w:before="60"/>
      </w:pPr>
    </w:p>
    <w:p>
      <w:pPr>
        <w:spacing w:after="60" w:before="60"/>
      </w:pPr>
      <w:r>
        <w:rPr>
          <w:rFonts w:ascii="Calibri" w:cs="Calibri" w:eastAsia="Calibri" w:hAnsi="Calibri"/>
          <w:sz w:val="20"/>
          <w:szCs w:val="20"/>
        </w:rPr>
        <w:t xml:space="preserve">One issue is still open: shift boundary bug after midnight — current shift count drops and resets in certain time windows. Santosh's console log is pending. This must be resolved before the POC is handed to Kalanjiyam as reference material.</w:t>
      </w:r>
    </w:p>
    <w:p>
      <w:pPr>
        <w:spacing w:after="0" w:before="80"/>
      </w:pPr>
    </w:p>
    <w:p>
      <w:pPr>
        <w:pStyle w:val="Heading1"/>
        <w:spacing w:after="100" w:before="280"/>
      </w:pPr>
      <w:r>
        <w:rPr>
          <w:rFonts w:ascii="Calibri" w:cs="Calibri" w:eastAsia="Calibri" w:hAnsi="Calibri"/>
          <w:b/>
          <w:bCs/>
          <w:color w:val="1F3864"/>
          <w:sz w:val="26"/>
          <w:szCs w:val="26"/>
        </w:rPr>
        <w:t xml:space="preserve">4. Ownership — Production Build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D6E4F0" w:val="clear"/>
            <w:tcMar>
              <w:top w:type="dxa" w:w="80"/>
              <w:left w:type="dxa" w:w="100"/>
              <w:bottom w:type="dxa" w:w="80"/>
              <w:right w:type="dxa" w:w="100"/>
            </w:tcMar>
          </w:tcPr>
          <w:p>
            <w:pPr>
              <w:spacing w:after="60" w:before="60"/>
            </w:pPr>
            <w:r>
              <w:rPr>
                <w:rFonts w:ascii="Calibri" w:cs="Calibri" w:eastAsia="Calibri" w:hAnsi="Calibri"/>
                <w:b/>
                <w:bCs/>
                <w:sz w:val="19"/>
                <w:szCs w:val="19"/>
              </w:rPr>
              <w:t xml:space="preserve">Area</w:t>
            </w:r>
          </w:p>
        </w:tc>
        <w:tc>
          <w:tcPr>
            <w:tcW w:type="dxa" w:w="3120"/>
            <w:shd w:fill="D6E4F0" w:val="clear"/>
            <w:tcMar>
              <w:top w:type="dxa" w:w="80"/>
              <w:left w:type="dxa" w:w="100"/>
              <w:bottom w:type="dxa" w:w="80"/>
              <w:right w:type="dxa" w:w="100"/>
            </w:tcMar>
          </w:tcPr>
          <w:p>
            <w:pPr>
              <w:spacing w:after="60" w:before="60"/>
            </w:pPr>
            <w:r>
              <w:rPr>
                <w:rFonts w:ascii="Calibri" w:cs="Calibri" w:eastAsia="Calibri" w:hAnsi="Calibri"/>
                <w:b/>
                <w:bCs/>
                <w:sz w:val="19"/>
                <w:szCs w:val="19"/>
              </w:rPr>
              <w:t xml:space="preserve">Owner</w:t>
            </w:r>
          </w:p>
        </w:tc>
        <w:tc>
          <w:tcPr>
            <w:tcW w:type="dxa" w:w="3120"/>
            <w:shd w:fill="D6E4F0" w:val="clear"/>
            <w:tcMar>
              <w:top w:type="dxa" w:w="80"/>
              <w:left w:type="dxa" w:w="100"/>
              <w:bottom w:type="dxa" w:w="80"/>
              <w:right w:type="dxa" w:w="100"/>
            </w:tcMar>
          </w:tcPr>
          <w:p>
            <w:pPr>
              <w:spacing w:after="60" w:before="60"/>
            </w:pPr>
            <w:r>
              <w:rPr>
                <w:rFonts w:ascii="Calibri" w:cs="Calibri" w:eastAsia="Calibri" w:hAnsi="Calibri"/>
                <w:b/>
                <w:bCs/>
                <w:sz w:val="19"/>
                <w:szCs w:val="19"/>
              </w:rPr>
              <w:t xml:space="preserve">Notes</w:t>
            </w:r>
          </w:p>
        </w:tc>
      </w:tr>
      <w:tr>
        <w:tc>
          <w:tcPr>
            <w:tcW w:type="dxa" w:w="312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SQL Server schema (production_events)</w:t>
            </w:r>
          </w:p>
        </w:tc>
        <w:tc>
          <w:tcPr>
            <w:tcW w:type="dxa" w:w="312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Hari</w:t>
            </w:r>
          </w:p>
        </w:tc>
        <w:tc>
          <w:tcPr>
            <w:tcW w:type="dxa" w:w="312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Schema definition to be provided — sign-off required before Kalanjiyam development starts</w:t>
            </w:r>
          </w:p>
        </w:tc>
      </w:tr>
      <w:tr>
        <w:tc>
          <w:tcPr>
            <w:tcW w:type="dxa" w:w="312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Item master sync from Ramco</w:t>
            </w:r>
          </w:p>
        </w:tc>
        <w:tc>
          <w:tcPr>
            <w:tcW w:type="dxa" w:w="312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Hari</w:t>
            </w:r>
          </w:p>
        </w:tc>
        <w:tc>
          <w:tcPr>
            <w:tcW w:type="dxa" w:w="312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/GetItemDetails API access pending — Hari to confirm availability on PEPS MAGNA instance</w:t>
            </w:r>
          </w:p>
        </w:tc>
      </w:tr>
      <w:tr>
        <w:tc>
          <w:tcPr>
            <w:tcW w:type="dxa" w:w="312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Scan application (production build)</w:t>
            </w:r>
          </w:p>
        </w:tc>
        <w:tc>
          <w:tcPr>
            <w:tcW w:type="dxa" w:w="312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Kalanjiyam</w:t>
            </w:r>
          </w:p>
        </w:tc>
        <w:tc>
          <w:tcPr>
            <w:tcW w:type="dxa" w:w="312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Full build — POC is reference only</w:t>
            </w:r>
          </w:p>
        </w:tc>
      </w:tr>
      <w:tr>
        <w:tc>
          <w:tcPr>
            <w:tcW w:type="dxa" w:w="312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Display board</w:t>
            </w:r>
          </w:p>
        </w:tc>
        <w:tc>
          <w:tcPr>
            <w:tcW w:type="dxa" w:w="312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TBD</w:t>
            </w:r>
          </w:p>
        </w:tc>
        <w:tc>
          <w:tcPr>
            <w:tcW w:type="dxa" w:w="312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Design validated via POC v2.6. Build scope to be decided separately.</w:t>
            </w:r>
          </w:p>
        </w:tc>
      </w:tr>
      <w:tr>
        <w:tc>
          <w:tcPr>
            <w:tcW w:type="dxa" w:w="312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Reporting</w:t>
            </w:r>
          </w:p>
        </w:tc>
        <w:tc>
          <w:tcPr>
            <w:tcW w:type="dxa" w:w="312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TBD</w:t>
            </w:r>
          </w:p>
        </w:tc>
        <w:tc>
          <w:tcPr>
            <w:tcW w:type="dxa" w:w="312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Design validated via POC v2.6. Build scope to be decided separately.</w:t>
            </w:r>
          </w:p>
        </w:tc>
      </w:tr>
      <w:tr>
        <w:tc>
          <w:tcPr>
            <w:tcW w:type="dxa" w:w="312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ERP write-back (SFC API)</w:t>
            </w:r>
          </w:p>
        </w:tc>
        <w:tc>
          <w:tcPr>
            <w:tcW w:type="dxa" w:w="312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Kalanjiyam (Milestone 2)</w:t>
            </w:r>
          </w:p>
        </w:tc>
        <w:tc>
          <w:tcPr>
            <w:tcW w:type="dxa" w:w="312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SFC API write-back across Steel, Quilting, Tape Edge — feasibility to be confirmed by Kalanjiyam</w:t>
            </w:r>
          </w:p>
        </w:tc>
      </w:tr>
      <w:tr>
        <w:tc>
          <w:tcPr>
            <w:tcW w:type="dxa" w:w="312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Network infrastructure</w:t>
            </w:r>
          </w:p>
        </w:tc>
        <w:tc>
          <w:tcPr>
            <w:tcW w:type="dxa" w:w="312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PEPS IT</w:t>
            </w:r>
          </w:p>
        </w:tc>
        <w:tc>
          <w:tcPr>
            <w:tcW w:type="dxa" w:w="312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LAN drops and switches for all 11 Tape Edge machine positions</w:t>
            </w:r>
          </w:p>
        </w:tc>
      </w:tr>
      <w:tr>
        <w:tc>
          <w:tcPr>
            <w:tcW w:type="dxa" w:w="312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Hardware procurement</w:t>
            </w:r>
          </w:p>
        </w:tc>
        <w:tc>
          <w:tcPr>
            <w:tcW w:type="dxa" w:w="312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PEPS</w:t>
            </w:r>
          </w:p>
        </w:tc>
        <w:tc>
          <w:tcPr>
            <w:tcW w:type="dxa" w:w="312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Scanner and client device — model and pricing to be confirmed</w:t>
            </w:r>
          </w:p>
        </w:tc>
      </w:tr>
    </w:tbl>
    <w:p>
      <w:pPr>
        <w:spacing w:after="0" w:before="80"/>
      </w:pPr>
    </w:p>
    <w:p>
      <w:pPr>
        <w:pStyle w:val="Heading1"/>
        <w:spacing w:after="100" w:before="280"/>
      </w:pPr>
      <w:r>
        <w:rPr>
          <w:rFonts w:ascii="Calibri" w:cs="Calibri" w:eastAsia="Calibri" w:hAnsi="Calibri"/>
          <w:b/>
          <w:bCs/>
          <w:color w:val="1F3864"/>
          <w:sz w:val="26"/>
          <w:szCs w:val="26"/>
        </w:rPr>
        <w:t xml:space="preserve">5. SQL Server Schema</w:t>
      </w:r>
    </w:p>
    <w:p>
      <w:pPr>
        <w:spacing w:after="60" w:before="60"/>
      </w:pPr>
      <w:r>
        <w:rPr>
          <w:rFonts w:ascii="Calibri" w:cs="Calibri" w:eastAsia="Calibri" w:hAnsi="Calibri"/>
          <w:sz w:val="20"/>
          <w:szCs w:val="20"/>
        </w:rPr>
        <w:t xml:space="preserve">The production_events table is the central data store for all Tape Edge scan events. Every confirmed scan must be written here. Item SI No is the primary key linking each scan event to downstream QC records and ERP updates.</w:t>
      </w:r>
    </w:p>
    <w:p>
      <w:pPr>
        <w:spacing w:after="0" w:before="60"/>
      </w:pPr>
    </w:p>
    <w:p>
      <w:pPr>
        <w:pStyle w:val="Heading2"/>
        <w:spacing w:after="80" w:before="200"/>
      </w:pPr>
      <w:r>
        <w:rPr>
          <w:rFonts w:ascii="Calibri" w:cs="Calibri" w:eastAsia="Calibri" w:hAnsi="Calibri"/>
          <w:b/>
          <w:bCs/>
          <w:color w:val="2E5090"/>
          <w:sz w:val="22"/>
          <w:szCs w:val="22"/>
        </w:rPr>
        <w:t xml:space="preserve">5.1 Required Fields</w:t>
      </w:r>
    </w:p>
    <w:p>
      <w:pPr>
        <w:pStyle w:val="ListParagraph"/>
        <w:numPr>
          <w:ilvl w:val="0"/>
          <w:numId w:val="1"/>
        </w:numPr>
        <w:spacing w:after="40" w:before="40"/>
      </w:pPr>
      <w:r>
        <w:rPr>
          <w:rFonts w:ascii="Calibri" w:cs="Calibri" w:eastAsia="Calibri" w:hAnsi="Calibri"/>
          <w:sz w:val="20"/>
          <w:szCs w:val="20"/>
        </w:rPr>
        <w:t xml:space="preserve">si — Item SI No (primary key, unique serial per mattress)</w:t>
      </w:r>
    </w:p>
    <w:p>
      <w:pPr>
        <w:pStyle w:val="ListParagraph"/>
        <w:numPr>
          <w:ilvl w:val="0"/>
          <w:numId w:val="1"/>
        </w:numPr>
        <w:spacing w:after="40" w:before="40"/>
      </w:pPr>
      <w:r>
        <w:rPr>
          <w:rFonts w:ascii="Calibri" w:cs="Calibri" w:eastAsia="Calibri" w:hAnsi="Calibri"/>
          <w:sz w:val="20"/>
          <w:szCs w:val="20"/>
        </w:rPr>
        <w:t xml:space="preserve">ic — Item Code</w:t>
      </w:r>
    </w:p>
    <w:p>
      <w:pPr>
        <w:pStyle w:val="ListParagraph"/>
        <w:numPr>
          <w:ilvl w:val="0"/>
          <w:numId w:val="1"/>
        </w:numPr>
        <w:spacing w:after="40" w:before="40"/>
      </w:pPr>
      <w:r>
        <w:rPr>
          <w:rFonts w:ascii="Calibri" w:cs="Calibri" w:eastAsia="Calibri" w:hAnsi="Calibri"/>
          <w:sz w:val="20"/>
          <w:szCs w:val="20"/>
        </w:rPr>
        <w:t xml:space="preserve">desc — Item description</w:t>
      </w:r>
    </w:p>
    <w:p>
      <w:pPr>
        <w:pStyle w:val="ListParagraph"/>
        <w:numPr>
          <w:ilvl w:val="0"/>
          <w:numId w:val="1"/>
        </w:numPr>
        <w:spacing w:after="40" w:before="40"/>
      </w:pPr>
      <w:r>
        <w:rPr>
          <w:rFonts w:ascii="Calibri" w:cs="Calibri" w:eastAsia="Calibri" w:hAnsi="Calibri"/>
          <w:sz w:val="20"/>
          <w:szCs w:val="20"/>
        </w:rPr>
        <w:t xml:space="preserve">pg — Product Group / Brand</w:t>
      </w:r>
    </w:p>
    <w:p>
      <w:pPr>
        <w:pStyle w:val="ListParagraph"/>
        <w:numPr>
          <w:ilvl w:val="0"/>
          <w:numId w:val="1"/>
        </w:numPr>
        <w:spacing w:after="40" w:before="40"/>
      </w:pPr>
      <w:r>
        <w:rPr>
          <w:rFonts w:ascii="Calibri" w:cs="Calibri" w:eastAsia="Calibri" w:hAnsi="Calibri"/>
          <w:sz w:val="20"/>
          <w:szCs w:val="20"/>
        </w:rPr>
        <w:t xml:space="preserve">variety — Product variety</w:t>
      </w:r>
    </w:p>
    <w:p>
      <w:pPr>
        <w:pStyle w:val="ListParagraph"/>
        <w:numPr>
          <w:ilvl w:val="0"/>
          <w:numId w:val="1"/>
        </w:numPr>
        <w:spacing w:after="40" w:before="40"/>
      </w:pPr>
      <w:r>
        <w:rPr>
          <w:rFonts w:ascii="Calibri" w:cs="Calibri" w:eastAsia="Calibri" w:hAnsi="Calibri"/>
          <w:sz w:val="20"/>
          <w:szCs w:val="20"/>
        </w:rPr>
        <w:t xml:space="preserve">segment — Low / Premium / Foam</w:t>
      </w:r>
    </w:p>
    <w:p>
      <w:pPr>
        <w:pStyle w:val="ListParagraph"/>
        <w:numPr>
          <w:ilvl w:val="0"/>
          <w:numId w:val="1"/>
        </w:numPr>
        <w:spacing w:after="40" w:before="40"/>
      </w:pPr>
      <w:r>
        <w:rPr>
          <w:rFonts w:ascii="Calibri" w:cs="Calibri" w:eastAsia="Calibri" w:hAnsi="Calibri"/>
          <w:sz w:val="20"/>
          <w:szCs w:val="20"/>
        </w:rPr>
        <w:t xml:space="preserve">machine — Machine ID (TE-01 to TE-11)</w:t>
      </w:r>
    </w:p>
    <w:p>
      <w:pPr>
        <w:pStyle w:val="ListParagraph"/>
        <w:numPr>
          <w:ilvl w:val="0"/>
          <w:numId w:val="1"/>
        </w:numPr>
        <w:spacing w:after="40" w:before="40"/>
      </w:pPr>
      <w:r>
        <w:rPr>
          <w:rFonts w:ascii="Calibri" w:cs="Calibri" w:eastAsia="Calibri" w:hAnsi="Calibri"/>
          <w:sz w:val="20"/>
          <w:szCs w:val="20"/>
        </w:rPr>
        <w:t xml:space="preserve">shift — day / night</w:t>
      </w:r>
    </w:p>
    <w:p>
      <w:pPr>
        <w:pStyle w:val="ListParagraph"/>
        <w:numPr>
          <w:ilvl w:val="0"/>
          <w:numId w:val="1"/>
        </w:numPr>
        <w:spacing w:after="40" w:before="40"/>
      </w:pPr>
      <w:r>
        <w:rPr>
          <w:rFonts w:ascii="Calibri" w:cs="Calibri" w:eastAsia="Calibri" w:hAnsi="Calibri"/>
          <w:sz w:val="20"/>
          <w:szCs w:val="20"/>
        </w:rPr>
        <w:t xml:space="preserve">scan_date — Date of scan (YYYY-MM-DD)</w:t>
      </w:r>
    </w:p>
    <w:p>
      <w:pPr>
        <w:pStyle w:val="ListParagraph"/>
        <w:numPr>
          <w:ilvl w:val="0"/>
          <w:numId w:val="1"/>
        </w:numPr>
        <w:spacing w:after="40" w:before="40"/>
      </w:pPr>
      <w:r>
        <w:rPr>
          <w:rFonts w:ascii="Calibri" w:cs="Calibri" w:eastAsia="Calibri" w:hAnsi="Calibri"/>
          <w:sz w:val="20"/>
          <w:szCs w:val="20"/>
        </w:rPr>
        <w:t xml:space="preserve">scan_time — Timestamp of scan (HH:MM:SS)</w:t>
      </w:r>
    </w:p>
    <w:p>
      <w:pPr>
        <w:pStyle w:val="ListParagraph"/>
        <w:numPr>
          <w:ilvl w:val="0"/>
          <w:numId w:val="1"/>
        </w:numPr>
        <w:spacing w:after="40" w:before="40"/>
      </w:pPr>
      <w:r>
        <w:rPr>
          <w:rFonts w:ascii="Calibri" w:cs="Calibri" w:eastAsia="Calibri" w:hAnsi="Calibri"/>
          <w:sz w:val="20"/>
          <w:szCs w:val="20"/>
        </w:rPr>
        <w:t xml:space="preserve">status — ok / not_found</w:t>
      </w:r>
    </w:p>
    <w:p>
      <w:pPr>
        <w:pStyle w:val="ListParagraph"/>
        <w:numPr>
          <w:ilvl w:val="0"/>
          <w:numId w:val="1"/>
        </w:numPr>
        <w:spacing w:after="40" w:before="40"/>
      </w:pPr>
      <w:r>
        <w:rPr>
          <w:rFonts w:ascii="Calibri" w:cs="Calibri" w:eastAsia="Calibri" w:hAnsi="Calibri"/>
          <w:sz w:val="20"/>
          <w:szCs w:val="20"/>
        </w:rPr>
        <w:t xml:space="preserve">flagged — Boolean</w:t>
      </w:r>
    </w:p>
    <w:p>
      <w:pPr>
        <w:pStyle w:val="ListParagraph"/>
        <w:numPr>
          <w:ilvl w:val="0"/>
          <w:numId w:val="1"/>
        </w:numPr>
        <w:spacing w:after="40" w:before="40"/>
      </w:pPr>
      <w:r>
        <w:rPr>
          <w:rFonts w:ascii="Calibri" w:cs="Calibri" w:eastAsia="Calibri" w:hAnsi="Calibri"/>
          <w:sz w:val="20"/>
          <w:szCs w:val="20"/>
        </w:rPr>
        <w:t xml:space="preserve">flag_note — Supervisor note text</w:t>
      </w:r>
    </w:p>
    <w:p>
      <w:pPr>
        <w:spacing w:after="0" w:before="60"/>
      </w:pPr>
    </w:p>
    <w:p>
      <w:pPr>
        <w:spacing w:after="60" w:before="60"/>
      </w:pPr>
      <w:r>
        <w:rPr>
          <w:rFonts w:ascii="Calibri" w:cs="Calibri" w:eastAsia="Calibri" w:hAnsi="Calibri"/>
          <w:sz w:val="20"/>
          <w:szCs w:val="20"/>
        </w:rPr>
        <w:t xml:space="preserve">Hari to finalise the schema definition and provide to Kalanjiyam before their development kickoff. Schema sign-off is a gate before development starts.</w:t>
      </w:r>
    </w:p>
    <w:p>
      <w:pPr>
        <w:spacing w:after="0" w:before="80"/>
      </w:pPr>
    </w:p>
    <w:p>
      <w:pPr>
        <w:pStyle w:val="Heading1"/>
        <w:spacing w:after="100" w:before="280"/>
      </w:pPr>
      <w:r>
        <w:rPr>
          <w:rFonts w:ascii="Calibri" w:cs="Calibri" w:eastAsia="Calibri" w:hAnsi="Calibri"/>
          <w:b/>
          <w:bCs/>
          <w:color w:val="1F3864"/>
          <w:sz w:val="26"/>
          <w:szCs w:val="26"/>
        </w:rPr>
        <w:t xml:space="preserve">6. Item Master Sync</w:t>
      </w:r>
    </w:p>
    <w:p>
      <w:pPr>
        <w:spacing w:after="60" w:before="60"/>
      </w:pPr>
      <w:r>
        <w:rPr>
          <w:rFonts w:ascii="Calibri" w:cs="Calibri" w:eastAsia="Calibri" w:hAnsi="Calibri"/>
          <w:sz w:val="20"/>
          <w:szCs w:val="20"/>
        </w:rPr>
        <w:t xml:space="preserve">The scan application resolves Item SI No to Item Code, Description, and Product Group via an item master reference table in SQL Server. The source is Ramco — either via /GetItemDetails API (preferred) or a nightly sync export.</w:t>
      </w:r>
    </w:p>
    <w:p>
      <w:pPr>
        <w:spacing w:after="0" w:before="60"/>
      </w:pPr>
    </w:p>
    <w:p>
      <w:pPr>
        <w:pStyle w:val="ListParagraph"/>
        <w:numPr>
          <w:ilvl w:val="0"/>
          <w:numId w:val="1"/>
        </w:numPr>
        <w:spacing w:after="40" w:before="40"/>
      </w:pPr>
      <w:r>
        <w:rPr>
          <w:rFonts w:ascii="Calibri" w:cs="Calibri" w:eastAsia="Calibri" w:hAnsi="Calibri"/>
          <w:sz w:val="20"/>
          <w:szCs w:val="20"/>
        </w:rPr>
        <w:t xml:space="preserve">/GetItemDetails API availability on PEPS MAGNA instance must be confirmed by Hari with PEPS IT / Ramco before Kalanjiyam begins development.</w:t>
      </w:r>
    </w:p>
    <w:p>
      <w:pPr>
        <w:pStyle w:val="ListParagraph"/>
        <w:numPr>
          <w:ilvl w:val="0"/>
          <w:numId w:val="1"/>
        </w:numPr>
        <w:spacing w:after="40" w:before="40"/>
      </w:pPr>
      <w:r>
        <w:rPr>
          <w:rFonts w:ascii="Calibri" w:cs="Calibri" w:eastAsia="Calibri" w:hAnsi="Calibri"/>
          <w:sz w:val="20"/>
          <w:szCs w:val="20"/>
        </w:rPr>
        <w:t xml:space="preserve">The item master table must have an offline fallback — the scan application must remain functional during short Ramco API outages.</w:t>
      </w:r>
    </w:p>
    <w:p>
      <w:pPr>
        <w:pStyle w:val="ListParagraph"/>
        <w:numPr>
          <w:ilvl w:val="0"/>
          <w:numId w:val="1"/>
        </w:numPr>
        <w:spacing w:after="40" w:before="40"/>
      </w:pPr>
      <w:r>
        <w:rPr>
          <w:rFonts w:ascii="Calibri" w:cs="Calibri" w:eastAsia="Calibri" w:hAnsi="Calibri"/>
          <w:sz w:val="20"/>
          <w:szCs w:val="20"/>
        </w:rPr>
        <w:t xml:space="preserve">The BRAND_MAP prefix logic (102 prefixes → variety, brand, segment) validated in the POC must be replicated in the production item resolution layer.</w:t>
      </w:r>
    </w:p>
    <w:p>
      <w:pPr>
        <w:spacing w:after="0" w:before="80"/>
      </w:pPr>
    </w:p>
    <w:p>
      <w:pPr>
        <w:pStyle w:val="Heading1"/>
        <w:spacing w:after="100" w:before="280"/>
      </w:pPr>
      <w:r>
        <w:rPr>
          <w:rFonts w:ascii="Calibri" w:cs="Calibri" w:eastAsia="Calibri" w:hAnsi="Calibri"/>
          <w:b/>
          <w:bCs/>
          <w:color w:val="1F3864"/>
          <w:sz w:val="26"/>
          <w:szCs w:val="26"/>
        </w:rPr>
        <w:t xml:space="preserve">7. Open Items — Immediate Action Required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0"/>
        <w:gridCol w:w="2400"/>
      </w:tblGrid>
      <w:tr>
        <w:trPr>
          <w:tblHeader/>
        </w:trPr>
        <w:tc>
          <w:tcPr>
            <w:tcW w:type="dxa" w:w="4560"/>
            <w:shd w:fill="D6E4F0" w:val="clear"/>
            <w:tcMar>
              <w:top w:type="dxa" w:w="80"/>
              <w:left w:type="dxa" w:w="100"/>
              <w:bottom w:type="dxa" w:w="80"/>
              <w:right w:type="dxa" w:w="100"/>
            </w:tcMar>
          </w:tcPr>
          <w:p>
            <w:pPr>
              <w:spacing w:after="60" w:before="60"/>
            </w:pPr>
            <w:r>
              <w:rPr>
                <w:rFonts w:ascii="Calibri" w:cs="Calibri" w:eastAsia="Calibri" w:hAnsi="Calibri"/>
                <w:b/>
                <w:bCs/>
                <w:sz w:val="19"/>
                <w:szCs w:val="19"/>
              </w:rPr>
              <w:t xml:space="preserve">Item</w:t>
            </w:r>
          </w:p>
        </w:tc>
        <w:tc>
          <w:tcPr>
            <w:tcW w:type="dxa" w:w="2400"/>
            <w:shd w:fill="D6E4F0" w:val="clear"/>
            <w:tcMar>
              <w:top w:type="dxa" w:w="80"/>
              <w:left w:type="dxa" w:w="100"/>
              <w:bottom w:type="dxa" w:w="80"/>
              <w:right w:type="dxa" w:w="100"/>
            </w:tcMar>
          </w:tcPr>
          <w:p>
            <w:pPr>
              <w:spacing w:after="60" w:before="60"/>
            </w:pPr>
            <w:r>
              <w:rPr>
                <w:rFonts w:ascii="Calibri" w:cs="Calibri" w:eastAsia="Calibri" w:hAnsi="Calibri"/>
                <w:b/>
                <w:bCs/>
                <w:sz w:val="19"/>
                <w:szCs w:val="19"/>
              </w:rPr>
              <w:t xml:space="preserve">Owner</w:t>
            </w:r>
          </w:p>
        </w:tc>
        <w:tc>
          <w:tcPr>
            <w:tcW w:type="dxa" w:w="2400"/>
            <w:shd w:fill="D6E4F0" w:val="clear"/>
            <w:tcMar>
              <w:top w:type="dxa" w:w="80"/>
              <w:left w:type="dxa" w:w="100"/>
              <w:bottom w:type="dxa" w:w="80"/>
              <w:right w:type="dxa" w:w="100"/>
            </w:tcMar>
          </w:tcPr>
          <w:p>
            <w:pPr>
              <w:spacing w:after="60" w:before="60"/>
            </w:pPr>
            <w:r>
              <w:rPr>
                <w:rFonts w:ascii="Calibri" w:cs="Calibri" w:eastAsia="Calibri" w:hAnsi="Calibri"/>
                <w:b/>
                <w:bCs/>
                <w:sz w:val="19"/>
                <w:szCs w:val="19"/>
              </w:rPr>
              <w:t xml:space="preserve">Priority</w:t>
            </w:r>
          </w:p>
        </w:tc>
      </w:tr>
      <w:tr>
        <w:tc>
          <w:tcPr>
            <w:tcW w:type="dxa" w:w="456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/GetItemDetails API — confirm availability and access on PEPS MAGNA instance</w:t>
            </w:r>
          </w:p>
        </w:tc>
        <w:tc>
          <w:tcPr>
            <w:tcW w:type="dxa" w:w="240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Hari + PEPS IT</w:t>
            </w:r>
          </w:p>
        </w:tc>
        <w:tc>
          <w:tcPr>
            <w:tcW w:type="dxa" w:w="240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High</w:t>
            </w:r>
          </w:p>
        </w:tc>
      </w:tr>
      <w:tr>
        <w:tc>
          <w:tcPr>
            <w:tcW w:type="dxa" w:w="456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production_events schema — finalise and provide to Kalanjiyam before their development kickoff</w:t>
            </w:r>
          </w:p>
        </w:tc>
        <w:tc>
          <w:tcPr>
            <w:tcW w:type="dxa" w:w="240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Hari</w:t>
            </w:r>
          </w:p>
        </w:tc>
        <w:tc>
          <w:tcPr>
            <w:tcW w:type="dxa" w:w="240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High</w:t>
            </w:r>
          </w:p>
        </w:tc>
      </w:tr>
      <w:tr>
        <w:tc>
          <w:tcPr>
            <w:tcW w:type="dxa" w:w="456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SQL Server access credentials — provide to Kalanjiyam</w:t>
            </w:r>
          </w:p>
        </w:tc>
        <w:tc>
          <w:tcPr>
            <w:tcW w:type="dxa" w:w="240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Hari</w:t>
            </w:r>
          </w:p>
        </w:tc>
        <w:tc>
          <w:tcPr>
            <w:tcW w:type="dxa" w:w="240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High</w:t>
            </w:r>
          </w:p>
        </w:tc>
      </w:tr>
      <w:tr>
        <w:tc>
          <w:tcPr>
            <w:tcW w:type="dxa" w:w="456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Tape Edge shift boundary bug — midnight reset issue still occurring in v2.6. Console log from Santosh pending.</w:t>
            </w:r>
          </w:p>
        </w:tc>
        <w:tc>
          <w:tcPr>
            <w:tcW w:type="dxa" w:w="240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Hari</w:t>
            </w:r>
          </w:p>
        </w:tc>
        <w:tc>
          <w:tcPr>
            <w:tcW w:type="dxa" w:w="240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Medium</w:t>
            </w:r>
          </w:p>
        </w:tc>
      </w:tr>
      <w:tr>
        <w:tc>
          <w:tcPr>
            <w:tcW w:type="dxa" w:w="456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Scanner model and client device — confirm hardware before Kalanjiyam designs the scan application</w:t>
            </w:r>
          </w:p>
        </w:tc>
        <w:tc>
          <w:tcPr>
            <w:tcW w:type="dxa" w:w="240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PEPS IT</w:t>
            </w:r>
          </w:p>
        </w:tc>
        <w:tc>
          <w:tcPr>
            <w:tcW w:type="dxa" w:w="240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Medium</w:t>
            </w:r>
          </w:p>
        </w:tc>
      </w:tr>
      <w:tr>
        <w:tc>
          <w:tcPr>
            <w:tcW w:type="dxa" w:w="456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WO number linkage — how MES resolves WO number at time of Tape Edge scan for SFC API call</w:t>
            </w:r>
          </w:p>
        </w:tc>
        <w:tc>
          <w:tcPr>
            <w:tcW w:type="dxa" w:w="240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Hari + Kalanjiyam</w:t>
            </w:r>
          </w:p>
        </w:tc>
        <w:tc>
          <w:tcPr>
            <w:tcW w:type="dxa" w:w="240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Milestone 2</w:t>
            </w:r>
          </w:p>
        </w:tc>
      </w:tr>
    </w:tbl>
    <w:p>
      <w:pPr>
        <w:spacing w:after="0" w:before="80"/>
      </w:pPr>
    </w:p>
    <w:p>
      <w:pPr>
        <w:pStyle w:val="Heading1"/>
        <w:spacing w:after="100" w:before="280"/>
      </w:pPr>
      <w:r>
        <w:rPr>
          <w:rFonts w:ascii="Calibri" w:cs="Calibri" w:eastAsia="Calibri" w:hAnsi="Calibri"/>
          <w:b/>
          <w:bCs/>
          <w:color w:val="1F3864"/>
          <w:sz w:val="26"/>
          <w:szCs w:val="26"/>
        </w:rPr>
        <w:t xml:space="preserve">8. Reference Documents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D6E4F0" w:val="clear"/>
            <w:tcMar>
              <w:top w:type="dxa" w:w="80"/>
              <w:left w:type="dxa" w:w="100"/>
              <w:bottom w:type="dxa" w:w="80"/>
              <w:right w:type="dxa" w:w="100"/>
            </w:tcMar>
          </w:tcPr>
          <w:p>
            <w:pPr>
              <w:spacing w:after="60" w:before="60"/>
            </w:pPr>
            <w:r>
              <w:rPr>
                <w:rFonts w:ascii="Calibri" w:cs="Calibri" w:eastAsia="Calibri" w:hAnsi="Calibri"/>
                <w:b/>
                <w:bCs/>
                <w:sz w:val="19"/>
                <w:szCs w:val="19"/>
              </w:rPr>
              <w:t xml:space="preserve">Document</w:t>
            </w:r>
          </w:p>
        </w:tc>
        <w:tc>
          <w:tcPr>
            <w:tcW w:type="dxa" w:w="5760"/>
            <w:shd w:fill="D6E4F0" w:val="clear"/>
            <w:tcMar>
              <w:top w:type="dxa" w:w="80"/>
              <w:left w:type="dxa" w:w="100"/>
              <w:bottom w:type="dxa" w:w="80"/>
              <w:right w:type="dxa" w:w="100"/>
            </w:tcMar>
          </w:tcPr>
          <w:p>
            <w:pPr>
              <w:spacing w:after="60" w:before="60"/>
            </w:pPr>
            <w:r>
              <w:rPr>
                <w:rFonts w:ascii="Calibri" w:cs="Calibri" w:eastAsia="Calibri" w:hAnsi="Calibri"/>
                <w:b/>
                <w:bCs/>
                <w:sz w:val="19"/>
                <w:szCs w:val="19"/>
              </w:rPr>
              <w:t xml:space="preserve">Purpose</w:t>
            </w:r>
          </w:p>
        </w:tc>
      </w:tr>
      <w:tr>
        <w:tc>
          <w:tcPr>
            <w:tcW w:type="dxa" w:w="360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Tape Edge POC v2.6 (HTML)</w:t>
            </w:r>
          </w:p>
        </w:tc>
        <w:tc>
          <w:tcPr>
            <w:tcW w:type="dxa" w:w="576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Reference for concept, shift logic, scan flow, brand/variety mapping, dashboard design. Not a production deliverable.</w:t>
            </w:r>
          </w:p>
        </w:tc>
      </w:tr>
      <w:tr>
        <w:tc>
          <w:tcPr>
            <w:tcW w:type="dxa" w:w="360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Tape Edge Functional Specification — POC v2.4</w:t>
            </w:r>
          </w:p>
        </w:tc>
        <w:tc>
          <w:tcPr>
            <w:tcW w:type="dxa" w:w="576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Detailed functional spec of what the POC does — business rules, data model, screen behaviour. Primary reference for Kalanjiyam build.</w:t>
            </w:r>
          </w:p>
        </w:tc>
      </w:tr>
      <w:tr>
        <w:tc>
          <w:tcPr>
            <w:tcW w:type="dxa" w:w="360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Tape Edge Scope Brief v2.0</w:t>
            </w:r>
          </w:p>
        </w:tc>
        <w:tc>
          <w:tcPr>
            <w:tcW w:type="dxa" w:w="576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Kalanjiyam's build scope — scan application, DB, network, operator interface. Display board and reporting carved out.</w:t>
            </w:r>
          </w:p>
        </w:tc>
      </w:tr>
      <w:tr>
        <w:tc>
          <w:tcPr>
            <w:tcW w:type="dxa" w:w="360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ERP Integration — MES to Ramco via ShopFloor APIs v2.0</w:t>
            </w:r>
          </w:p>
        </w:tc>
        <w:tc>
          <w:tcPr>
            <w:tcW w:type="dxa" w:w="5760"/>
            <w:tcMar>
              <w:top w:type="dxa" w:w="80"/>
              <w:left w:type="dxa" w:w="100"/>
              <w:bottom w:type="dxa" w:w="80"/>
              <w:right w:type="dxa" w:w="100"/>
            </w:tcMar>
          </w:tcPr>
          <w:p>
            <w:pPr>
              <w:spacing w:after="60" w:before="60"/>
            </w:pPr>
            <w:r>
              <w:rPr>
                <w:rFonts w:ascii="Calibri" w:cs="Calibri" w:eastAsia="Calibri" w:hAnsi="Calibri"/>
                <w:b w:val="false"/>
                <w:bCs w:val="false"/>
                <w:sz w:val="19"/>
                <w:szCs w:val="19"/>
              </w:rPr>
              <w:t xml:space="preserve">Defines SFC API write-back as Milestone 2 integration method. To be shared with Kalanjiyam at end of Milestone 1.</w:t>
            </w:r>
          </w:p>
        </w:tc>
      </w:tr>
    </w:tbl>
    <w:p>
      <w:pPr>
        <w:spacing w:after="0" w:before="80"/>
      </w:pPr>
    </w:p>
    <w:p>
      <w:pPr>
        <w:pStyle w:val="Heading1"/>
        <w:spacing w:after="100" w:before="280"/>
      </w:pPr>
      <w:r>
        <w:rPr>
          <w:rFonts w:ascii="Calibri" w:cs="Calibri" w:eastAsia="Calibri" w:hAnsi="Calibri"/>
          <w:b/>
          <w:bCs/>
          <w:color w:val="1F3864"/>
          <w:sz w:val="26"/>
          <w:szCs w:val="26"/>
        </w:rPr>
        <w:t xml:space="preserve">9. Key Constraints</w:t>
      </w:r>
    </w:p>
    <w:p>
      <w:pPr>
        <w:pStyle w:val="ListParagraph"/>
        <w:numPr>
          <w:ilvl w:val="0"/>
          <w:numId w:val="1"/>
        </w:numPr>
        <w:spacing w:after="40" w:before="40"/>
      </w:pPr>
      <w:r>
        <w:rPr>
          <w:rFonts w:ascii="Calibri" w:cs="Calibri" w:eastAsia="Calibri" w:hAnsi="Calibri"/>
          <w:sz w:val="20"/>
          <w:szCs w:val="20"/>
        </w:rPr>
        <w:t xml:space="preserve">All data must be written to SQL Server on PEPS server (Dell PowerEdge T440, LAN-only). No cloud, no local-only storage.</w:t>
      </w:r>
    </w:p>
    <w:p>
      <w:pPr>
        <w:pStyle w:val="ListParagraph"/>
        <w:numPr>
          <w:ilvl w:val="0"/>
          <w:numId w:val="1"/>
        </w:numPr>
        <w:spacing w:after="40" w:before="40"/>
      </w:pPr>
      <w:r>
        <w:rPr>
          <w:rFonts w:ascii="Calibri" w:cs="Calibri" w:eastAsia="Calibri" w:hAnsi="Calibri"/>
          <w:sz w:val="20"/>
          <w:szCs w:val="20"/>
        </w:rPr>
        <w:t xml:space="preserve">Shift definitions (Day 08:00–20:00, Night 20:00–08:00) must be identical across all MES modules.</w:t>
      </w:r>
    </w:p>
    <w:p>
      <w:pPr>
        <w:pStyle w:val="ListParagraph"/>
        <w:numPr>
          <w:ilvl w:val="0"/>
          <w:numId w:val="1"/>
        </w:numPr>
        <w:spacing w:after="40" w:before="40"/>
      </w:pPr>
      <w:r>
        <w:rPr>
          <w:rFonts w:ascii="Calibri" w:cs="Calibri" w:eastAsia="Calibri" w:hAnsi="Calibri"/>
          <w:sz w:val="20"/>
          <w:szCs w:val="20"/>
        </w:rPr>
        <w:t xml:space="preserve">Item SI No must be preserved without modification through the entire chain — scan → QC → ERP.</w:t>
      </w:r>
    </w:p>
    <w:p>
      <w:pPr>
        <w:pStyle w:val="ListParagraph"/>
        <w:numPr>
          <w:ilvl w:val="0"/>
          <w:numId w:val="1"/>
        </w:numPr>
        <w:spacing w:after="40" w:before="40"/>
      </w:pPr>
      <w:r>
        <w:rPr>
          <w:rFonts w:ascii="Calibri" w:cs="Calibri" w:eastAsia="Calibri" w:hAnsi="Calibri"/>
          <w:sz w:val="20"/>
          <w:szCs w:val="20"/>
        </w:rPr>
        <w:t xml:space="preserve">The clinching inventory calculation depends on completeness of Tape Edge scan records — data quality is a hard requirement, not best-effort.</w:t>
      </w:r>
    </w:p>
    <w:p>
      <w:pPr>
        <w:pStyle w:val="ListParagraph"/>
        <w:numPr>
          <w:ilvl w:val="0"/>
          <w:numId w:val="1"/>
        </w:numPr>
        <w:spacing w:after="40" w:before="40"/>
      </w:pPr>
      <w:r>
        <w:rPr>
          <w:rFonts w:ascii="Calibri" w:cs="Calibri" w:eastAsia="Calibri" w:hAnsi="Calibri"/>
          <w:sz w:val="20"/>
          <w:szCs w:val="20"/>
        </w:rPr>
        <w:t xml:space="preserve">Application must run in Chrome browser. No additional software installation on client device.</w:t>
      </w:r>
    </w:p>
    <w:p>
      <w:pPr>
        <w:spacing w:after="0" w:before="120"/>
      </w:pPr>
    </w:p>
    <w:p>
      <w:pPr>
        <w:pBdr>
          <w:bottom w:val="single" w:color="CCCCCC" w:sz="6"/>
        </w:pBdr>
        <w:spacing w:after="120" w:before="120"/>
      </w:pPr>
    </w:p>
    <w:p>
      <w:pPr>
        <w:spacing w:after="0" w:before="80"/>
        <w:jc w:val="center"/>
      </w:pPr>
      <w:r>
        <w:rPr>
          <w:rFonts w:ascii="Calibri" w:cs="Calibri" w:eastAsia="Calibri" w:hAnsi="Calibri"/>
          <w:color w:val="888888"/>
          <w:sz w:val="16"/>
          <w:szCs w:val="16"/>
        </w:rPr>
        <w:t xml:space="preserve">PEPS Industries Pvt. Ltd. — IT Department  |  Confidential</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2026-09-03T11:41:54.470Z</dcterms:created>
  <dcterms:modified xsi:type="dcterms:W3CDTF">2026-09-03T11:41:54.493Z</dcterms:modified>
</cp:coreProperties>
</file>

<file path=docProps/custom.xml><?xml version="1.0" encoding="utf-8"?>
<Properties xmlns="http://schemas.openxmlformats.org/officeDocument/2006/custom-properties" xmlns:vt="http://schemas.openxmlformats.org/officeDocument/2006/docPropsVTypes"/>
</file>