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2563EB"/>
          <w:sz w:val="20"/>
        </w:rPr>
        <w:t>INTERNSHIP PROJECT SUBMISSION REPORT</w:t>
        <w:br/>
      </w:r>
      <w:r>
        <w:rPr>
          <w:rFonts w:ascii="Calibri" w:hAnsi="Calibri"/>
          <w:b/>
          <w:color w:val="0F172A"/>
          <w:sz w:val="48"/>
        </w:rPr>
        <w:t>Email Deliverability Checker</w:t>
      </w:r>
    </w:p>
    <w:p>
      <w:pPr>
        <w:spacing w:after="280"/>
      </w:pPr>
      <w:r>
        <w:rPr>
          <w:rFonts w:ascii="Calibri" w:hAnsi="Calibri"/>
          <w:color w:val="64748B"/>
          <w:sz w:val="22"/>
        </w:rPr>
        <w:t>A High-Accuracy, Privacy-First Email Deliverability Verification Web Application &amp; REST API</w:t>
      </w:r>
    </w:p>
    <w:tbl>
      <w:tblPr>
        <w:tblW w:type="auto" w:w="0"/>
        <w:jc w:val="center"/>
        <w:tblLayout w:type="fixed"/>
        <w:tblLook w:firstColumn="1" w:firstRow="1" w:lastColumn="0" w:lastRow="0" w:noHBand="0" w:noVBand="1" w:val="04A0"/>
      </w:tblPr>
      <w:tblGrid>
        <w:gridCol w:w="4896"/>
        <w:gridCol w:w="4896"/>
      </w:tblGrid>
      <w:tr>
        <w:tc>
          <w:tcPr>
            <w:tcW w:type="dxa" w:w="3168"/>
            <w:shd w:fill="F1F5F9"/>
            <w:tcMar>
              <w:top w:w="80" w:type="dxa"/>
              <w:bottom w:w="80" w:type="dxa"/>
              <w:left w:w="120" w:type="dxa"/>
              <w:right w:w="120" w:type="dxa"/>
            </w:tcMar>
          </w:tcPr>
          <w:p>
            <w:pPr>
              <w:spacing w:after="0"/>
            </w:pPr>
            <w:r>
              <w:rPr>
                <w:rFonts w:ascii="Calibri" w:hAnsi="Calibri"/>
                <w:b/>
                <w:color w:val="334155"/>
                <w:sz w:val="20"/>
              </w:rPr>
              <w:t>Project Name</w:t>
            </w:r>
          </w:p>
        </w:tc>
        <w:tc>
          <w:tcPr>
            <w:tcW w:type="dxa" w:w="6624"/>
            <w:shd w:fill="F8FAFC"/>
            <w:tcMar>
              <w:top w:w="80" w:type="dxa"/>
              <w:bottom w:w="80" w:type="dxa"/>
              <w:left w:w="120" w:type="dxa"/>
              <w:right w:w="120" w:type="dxa"/>
            </w:tcMar>
          </w:tcPr>
          <w:p>
            <w:pPr>
              <w:spacing w:after="0"/>
            </w:pPr>
            <w:r>
              <w:rPr>
                <w:rFonts w:ascii="Calibri" w:hAnsi="Calibri"/>
                <w:color w:val="0F172A"/>
                <w:sz w:val="21"/>
              </w:rPr>
              <w:t>Email Deliverability Checker (MailChecker)</w:t>
            </w:r>
          </w:p>
        </w:tc>
      </w:tr>
      <w:tr>
        <w:tc>
          <w:tcPr>
            <w:tcW w:type="dxa" w:w="3168"/>
            <w:shd w:fill="F1F5F9"/>
            <w:tcMar>
              <w:top w:w="80" w:type="dxa"/>
              <w:bottom w:w="80" w:type="dxa"/>
              <w:left w:w="120" w:type="dxa"/>
              <w:right w:w="120" w:type="dxa"/>
            </w:tcMar>
          </w:tcPr>
          <w:p>
            <w:pPr>
              <w:spacing w:after="0"/>
            </w:pPr>
            <w:r>
              <w:rPr>
                <w:rFonts w:ascii="Calibri" w:hAnsi="Calibri"/>
                <w:b/>
                <w:color w:val="334155"/>
                <w:sz w:val="20"/>
              </w:rPr>
              <w:t>Live Deployment URL</w:t>
            </w:r>
          </w:p>
        </w:tc>
        <w:tc>
          <w:tcPr>
            <w:tcW w:type="dxa" w:w="6624"/>
            <w:shd w:fill="F8FAFC"/>
            <w:tcMar>
              <w:top w:w="80" w:type="dxa"/>
              <w:bottom w:w="80" w:type="dxa"/>
              <w:left w:w="120" w:type="dxa"/>
              <w:right w:w="120" w:type="dxa"/>
            </w:tcMar>
          </w:tcPr>
          <w:p>
            <w:pPr>
              <w:spacing w:after="0"/>
            </w:pPr>
            <w:r>
              <w:rPr>
                <w:rFonts w:ascii="Calibri" w:hAnsi="Calibri"/>
                <w:b/>
                <w:color w:val="2563EB"/>
                <w:sz w:val="21"/>
              </w:rPr>
              <w:t>https://mailchecker-steel.vercel.app</w:t>
            </w:r>
          </w:p>
        </w:tc>
      </w:tr>
      <w:tr>
        <w:tc>
          <w:tcPr>
            <w:tcW w:type="dxa" w:w="3168"/>
            <w:shd w:fill="F1F5F9"/>
            <w:tcMar>
              <w:top w:w="80" w:type="dxa"/>
              <w:bottom w:w="80" w:type="dxa"/>
              <w:left w:w="120" w:type="dxa"/>
              <w:right w:w="120" w:type="dxa"/>
            </w:tcMar>
          </w:tcPr>
          <w:p>
            <w:pPr>
              <w:spacing w:after="0"/>
            </w:pPr>
            <w:r>
              <w:rPr>
                <w:rFonts w:ascii="Calibri" w:hAnsi="Calibri"/>
                <w:b/>
                <w:color w:val="334155"/>
                <w:sz w:val="20"/>
              </w:rPr>
              <w:t>GitHub Repository URL</w:t>
            </w:r>
          </w:p>
        </w:tc>
        <w:tc>
          <w:tcPr>
            <w:tcW w:type="dxa" w:w="6624"/>
            <w:shd w:fill="F8FAFC"/>
            <w:tcMar>
              <w:top w:w="80" w:type="dxa"/>
              <w:bottom w:w="80" w:type="dxa"/>
              <w:left w:w="120" w:type="dxa"/>
              <w:right w:w="120" w:type="dxa"/>
            </w:tcMar>
          </w:tcPr>
          <w:p>
            <w:pPr>
              <w:spacing w:after="0"/>
            </w:pPr>
            <w:r>
              <w:rPr>
                <w:rFonts w:ascii="Calibri" w:hAnsi="Calibri"/>
                <w:b/>
                <w:color w:val="2563EB"/>
                <w:sz w:val="21"/>
              </w:rPr>
              <w:t>https://github.com/PEPSS2007/mailchecker</w:t>
            </w:r>
          </w:p>
        </w:tc>
      </w:tr>
      <w:tr>
        <w:tc>
          <w:tcPr>
            <w:tcW w:type="dxa" w:w="3168"/>
            <w:shd w:fill="F1F5F9"/>
            <w:tcMar>
              <w:top w:w="80" w:type="dxa"/>
              <w:bottom w:w="80" w:type="dxa"/>
              <w:left w:w="120" w:type="dxa"/>
              <w:right w:w="120" w:type="dxa"/>
            </w:tcMar>
          </w:tcPr>
          <w:p>
            <w:pPr>
              <w:spacing w:after="0"/>
            </w:pPr>
            <w:r>
              <w:rPr>
                <w:rFonts w:ascii="Calibri" w:hAnsi="Calibri"/>
                <w:b/>
                <w:color w:val="334155"/>
                <w:sz w:val="20"/>
              </w:rPr>
              <w:t>Interactive API Docs</w:t>
            </w:r>
          </w:p>
        </w:tc>
        <w:tc>
          <w:tcPr>
            <w:tcW w:type="dxa" w:w="6624"/>
            <w:shd w:fill="F8FAFC"/>
            <w:tcMar>
              <w:top w:w="80" w:type="dxa"/>
              <w:bottom w:w="80" w:type="dxa"/>
              <w:left w:w="120" w:type="dxa"/>
              <w:right w:w="120" w:type="dxa"/>
            </w:tcMar>
          </w:tcPr>
          <w:p>
            <w:pPr>
              <w:spacing w:after="0"/>
            </w:pPr>
            <w:r>
              <w:rPr>
                <w:rFonts w:ascii="Calibri" w:hAnsi="Calibri"/>
                <w:b/>
                <w:color w:val="2563EB"/>
                <w:sz w:val="21"/>
              </w:rPr>
              <w:t>https://mailchecker-steel.vercel.app/docs</w:t>
            </w:r>
          </w:p>
        </w:tc>
      </w:tr>
      <w:tr>
        <w:tc>
          <w:tcPr>
            <w:tcW w:type="dxa" w:w="3168"/>
            <w:shd w:fill="F1F5F9"/>
            <w:tcMar>
              <w:top w:w="80" w:type="dxa"/>
              <w:bottom w:w="80" w:type="dxa"/>
              <w:left w:w="120" w:type="dxa"/>
              <w:right w:w="120" w:type="dxa"/>
            </w:tcMar>
          </w:tcPr>
          <w:p>
            <w:pPr>
              <w:spacing w:after="0"/>
            </w:pPr>
            <w:r>
              <w:rPr>
                <w:rFonts w:ascii="Calibri" w:hAnsi="Calibri"/>
                <w:b/>
                <w:color w:val="334155"/>
                <w:sz w:val="20"/>
              </w:rPr>
              <w:t>Submission Date</w:t>
            </w:r>
          </w:p>
        </w:tc>
        <w:tc>
          <w:tcPr>
            <w:tcW w:type="dxa" w:w="6624"/>
            <w:shd w:fill="F8FAFC"/>
            <w:tcMar>
              <w:top w:w="80" w:type="dxa"/>
              <w:bottom w:w="80" w:type="dxa"/>
              <w:left w:w="120" w:type="dxa"/>
              <w:right w:w="120" w:type="dxa"/>
            </w:tcMar>
          </w:tcPr>
          <w:p>
            <w:pPr>
              <w:spacing w:after="0"/>
            </w:pPr>
            <w:r>
              <w:rPr>
                <w:rFonts w:ascii="Calibri" w:hAnsi="Calibri"/>
                <w:color w:val="0F172A"/>
                <w:sz w:val="21"/>
              </w:rPr>
              <w:t>October 2026</w:t>
            </w:r>
          </w:p>
        </w:tc>
      </w:tr>
    </w:tbl>
    <w:p>
      <w:pPr>
        <w:spacing w:after="160"/>
      </w:pPr>
    </w:p>
    <w:p>
      <w:pPr>
        <w:pStyle w:val="Heading1"/>
        <w:spacing w:before="240" w:after="80"/>
      </w:pPr>
      <w:r>
        <w:t>1. Executive Summary</w:t>
      </w:r>
    </w:p>
    <w:p>
      <w:pPr>
        <w:spacing w:after="200"/>
      </w:pPr>
      <w:r>
        <w:t>The Email Deliverability Checker is a complete, full-stack web application and production REST API designed to verify whether email addresses are likely to be deliverable, likely to bounce, or inconclusive (unknown), without transmitting actual emails. Built for an internship software engineering evaluation, the project emphasizes RFC standards compliance, strict ethical safety safeguards, automated test coverage, and transparent cloud degraded mode operation.</w:t>
      </w:r>
    </w:p>
    <w:p>
      <w:pPr>
        <w:pStyle w:val="Heading1"/>
        <w:spacing w:before="240" w:after="80"/>
      </w:pPr>
      <w:r>
        <w:t>2. Technology Stack</w:t>
      </w:r>
    </w:p>
    <w:tbl>
      <w:tblPr>
        <w:tblW w:type="auto" w:w="0"/>
        <w:jc w:val="center"/>
        <w:tblLook w:firstColumn="1" w:firstRow="1" w:lastColumn="0" w:lastRow="0" w:noHBand="0" w:noVBand="1" w:val="04A0"/>
      </w:tblPr>
      <w:tblGrid>
        <w:gridCol w:w="4896"/>
        <w:gridCol w:w="4896"/>
      </w:tblGrid>
      <w:tr>
        <w:tc>
          <w:tcPr>
            <w:tcW w:type="dxa" w:w="3168"/>
            <w:shd w:fill="F8FAFC"/>
            <w:tcMar>
              <w:top w:w="60" w:type="dxa"/>
              <w:bottom w:w="60" w:type="dxa"/>
              <w:left w:w="100" w:type="dxa"/>
              <w:right w:w="100" w:type="dxa"/>
            </w:tcMar>
          </w:tcPr>
          <w:p>
            <w:r>
              <w:rPr>
                <w:b/>
                <w:sz w:val="19"/>
              </w:rPr>
              <w:t>Backend Framework</w:t>
            </w:r>
          </w:p>
        </w:tc>
        <w:tc>
          <w:tcPr>
            <w:tcW w:type="dxa" w:w="6624"/>
            <w:tcMar>
              <w:top w:w="60" w:type="dxa"/>
              <w:bottom w:w="60" w:type="dxa"/>
              <w:left w:w="100" w:type="dxa"/>
              <w:right w:w="100" w:type="dxa"/>
            </w:tcMar>
          </w:tcPr>
          <w:p>
            <w:r>
              <w:rPr>
                <w:sz w:val="19"/>
              </w:rPr>
              <w:t>Python 3.12 &amp; FastAPI with Uvicorn ASGI server</w:t>
            </w:r>
          </w:p>
        </w:tc>
      </w:tr>
      <w:tr>
        <w:tc>
          <w:tcPr>
            <w:tcW w:type="dxa" w:w="3168"/>
            <w:shd w:fill="F8FAFC"/>
            <w:tcMar>
              <w:top w:w="60" w:type="dxa"/>
              <w:bottom w:w="60" w:type="dxa"/>
              <w:left w:w="100" w:type="dxa"/>
              <w:right w:w="100" w:type="dxa"/>
            </w:tcMar>
          </w:tcPr>
          <w:p>
            <w:r>
              <w:rPr>
                <w:b/>
                <w:sz w:val="19"/>
              </w:rPr>
              <w:t>Email Syntax Validation</w:t>
            </w:r>
          </w:p>
        </w:tc>
        <w:tc>
          <w:tcPr>
            <w:tcW w:type="dxa" w:w="6624"/>
            <w:tcMar>
              <w:top w:w="60" w:type="dxa"/>
              <w:bottom w:w="60" w:type="dxa"/>
              <w:left w:w="100" w:type="dxa"/>
              <w:right w:w="100" w:type="dxa"/>
            </w:tcMar>
          </w:tcPr>
          <w:p>
            <w:r>
              <w:rPr>
                <w:sz w:val="19"/>
              </w:rPr>
              <w:t>email-validator (strict RFC 5322 compliance, max 100 per check)</w:t>
            </w:r>
          </w:p>
        </w:tc>
      </w:tr>
      <w:tr>
        <w:tc>
          <w:tcPr>
            <w:tcW w:type="dxa" w:w="3168"/>
            <w:shd w:fill="F8FAFC"/>
            <w:tcMar>
              <w:top w:w="60" w:type="dxa"/>
              <w:bottom w:w="60" w:type="dxa"/>
              <w:left w:w="100" w:type="dxa"/>
              <w:right w:w="100" w:type="dxa"/>
            </w:tcMar>
          </w:tcPr>
          <w:p>
            <w:r>
              <w:rPr>
                <w:b/>
                <w:sz w:val="19"/>
              </w:rPr>
              <w:t>DNS &amp; Mail Routing</w:t>
            </w:r>
          </w:p>
        </w:tc>
        <w:tc>
          <w:tcPr>
            <w:tcW w:type="dxa" w:w="6624"/>
            <w:tcMar>
              <w:top w:w="60" w:type="dxa"/>
              <w:bottom w:w="60" w:type="dxa"/>
              <w:left w:w="100" w:type="dxa"/>
              <w:right w:w="100" w:type="dxa"/>
            </w:tcMar>
          </w:tcPr>
          <w:p>
            <w:r>
              <w:rPr>
                <w:sz w:val="19"/>
              </w:rPr>
              <w:t>dnspython (MX lookup, RFC 7505 Null MX detection, RFC 5321 A/AAAA fallback)</w:t>
            </w:r>
          </w:p>
        </w:tc>
      </w:tr>
      <w:tr>
        <w:tc>
          <w:tcPr>
            <w:tcW w:type="dxa" w:w="3168"/>
            <w:shd w:fill="F8FAFC"/>
            <w:tcMar>
              <w:top w:w="60" w:type="dxa"/>
              <w:bottom w:w="60" w:type="dxa"/>
              <w:left w:w="100" w:type="dxa"/>
              <w:right w:w="100" w:type="dxa"/>
            </w:tcMar>
          </w:tcPr>
          <w:p>
            <w:r>
              <w:rPr>
                <w:b/>
                <w:sz w:val="19"/>
              </w:rPr>
              <w:t>SMTP Verification</w:t>
            </w:r>
          </w:p>
        </w:tc>
        <w:tc>
          <w:tcPr>
            <w:tcW w:type="dxa" w:w="6624"/>
            <w:tcMar>
              <w:top w:w="60" w:type="dxa"/>
              <w:bottom w:w="60" w:type="dxa"/>
              <w:left w:w="100" w:type="dxa"/>
              <w:right w:w="100" w:type="dxa"/>
            </w:tcMar>
          </w:tcPr>
          <w:p>
            <w:r>
              <w:rPr>
                <w:sz w:val="19"/>
              </w:rPr>
              <w:t>aiosmtplib with restricted handshakes (never issuing DATA) and domain semaphores</w:t>
            </w:r>
          </w:p>
        </w:tc>
      </w:tr>
      <w:tr>
        <w:tc>
          <w:tcPr>
            <w:tcW w:type="dxa" w:w="3168"/>
            <w:shd w:fill="F8FAFC"/>
            <w:tcMar>
              <w:top w:w="60" w:type="dxa"/>
              <w:bottom w:w="60" w:type="dxa"/>
              <w:left w:w="100" w:type="dxa"/>
              <w:right w:w="100" w:type="dxa"/>
            </w:tcMar>
          </w:tcPr>
          <w:p>
            <w:r>
              <w:rPr>
                <w:b/>
                <w:sz w:val="19"/>
              </w:rPr>
              <w:t>Frontend Dashboard</w:t>
            </w:r>
          </w:p>
        </w:tc>
        <w:tc>
          <w:tcPr>
            <w:tcW w:type="dxa" w:w="6624"/>
            <w:tcMar>
              <w:top w:w="60" w:type="dxa"/>
              <w:bottom w:w="60" w:type="dxa"/>
              <w:left w:w="100" w:type="dxa"/>
              <w:right w:w="100" w:type="dxa"/>
            </w:tcMar>
          </w:tcPr>
          <w:p>
            <w:r>
              <w:rPr>
                <w:sz w:val="19"/>
              </w:rPr>
              <w:t>Modern responsive HTML5, custom CSS3 design system, and Vanilla JavaScript</w:t>
            </w:r>
          </w:p>
        </w:tc>
      </w:tr>
      <w:tr>
        <w:tc>
          <w:tcPr>
            <w:tcW w:type="dxa" w:w="3168"/>
            <w:shd w:fill="F8FAFC"/>
            <w:tcMar>
              <w:top w:w="60" w:type="dxa"/>
              <w:bottom w:w="60" w:type="dxa"/>
              <w:left w:w="100" w:type="dxa"/>
              <w:right w:w="100" w:type="dxa"/>
            </w:tcMar>
          </w:tcPr>
          <w:p>
            <w:r>
              <w:rPr>
                <w:b/>
                <w:sz w:val="19"/>
              </w:rPr>
              <w:t>Deployment &amp; DevOps</w:t>
            </w:r>
          </w:p>
        </w:tc>
        <w:tc>
          <w:tcPr>
            <w:tcW w:type="dxa" w:w="6624"/>
            <w:tcMar>
              <w:top w:w="60" w:type="dxa"/>
              <w:bottom w:w="60" w:type="dxa"/>
              <w:left w:w="100" w:type="dxa"/>
              <w:right w:w="100" w:type="dxa"/>
            </w:tcMar>
          </w:tcPr>
          <w:p>
            <w:r>
              <w:rPr>
                <w:sz w:val="19"/>
              </w:rPr>
              <w:t>Vercel Serverless Function deployment, Docker containerization, and GitHub Actions CI</w:t>
            </w:r>
          </w:p>
        </w:tc>
      </w:tr>
    </w:tbl>
    <w:p>
      <w:pPr>
        <w:spacing w:after="160"/>
      </w:pPr>
    </w:p>
    <w:p>
      <w:pPr>
        <w:pStyle w:val="Heading1"/>
        <w:spacing w:before="240" w:after="80"/>
      </w:pPr>
      <w:r>
        <w:t>3. Modular Verification Pipeline</w:t>
      </w:r>
    </w:p>
    <w:tbl>
      <w:tblPr>
        <w:tblW w:type="auto" w:w="0"/>
        <w:jc w:val="center"/>
        <w:tblLook w:firstColumn="1" w:firstRow="1" w:lastColumn="0" w:lastRow="0" w:noHBand="0" w:noVBand="1" w:val="04A0"/>
      </w:tblPr>
      <w:tblGrid>
        <w:gridCol w:w="3264"/>
        <w:gridCol w:w="3264"/>
        <w:gridCol w:w="3264"/>
      </w:tblGrid>
      <w:tr>
        <w:tc>
          <w:tcPr>
            <w:tcW w:type="dxa" w:w="3264"/>
            <w:shd w:fill="0F172A"/>
            <w:tcMar>
              <w:top w:w="80" w:type="dxa"/>
              <w:bottom w:w="80" w:type="dxa"/>
              <w:left w:w="100" w:type="dxa"/>
              <w:right w:w="100" w:type="dxa"/>
            </w:tcMar>
          </w:tcPr>
          <w:p>
            <w:r>
              <w:rPr>
                <w:b/>
                <w:color w:val="FFFFFF"/>
                <w:sz w:val="19"/>
              </w:rPr>
              <w:t>Stage</w:t>
            </w:r>
          </w:p>
        </w:tc>
        <w:tc>
          <w:tcPr>
            <w:tcW w:type="dxa" w:w="3264"/>
            <w:shd w:fill="0F172A"/>
            <w:tcMar>
              <w:top w:w="80" w:type="dxa"/>
              <w:bottom w:w="80" w:type="dxa"/>
              <w:left w:w="100" w:type="dxa"/>
              <w:right w:w="100" w:type="dxa"/>
            </w:tcMar>
          </w:tcPr>
          <w:p>
            <w:r>
              <w:rPr>
                <w:b/>
                <w:color w:val="FFFFFF"/>
                <w:sz w:val="19"/>
              </w:rPr>
              <w:t>Focus Area</w:t>
            </w:r>
          </w:p>
        </w:tc>
        <w:tc>
          <w:tcPr>
            <w:tcW w:type="dxa" w:w="3264"/>
            <w:shd w:fill="0F172A"/>
            <w:tcMar>
              <w:top w:w="80" w:type="dxa"/>
              <w:bottom w:w="80" w:type="dxa"/>
              <w:left w:w="100" w:type="dxa"/>
              <w:right w:w="100" w:type="dxa"/>
            </w:tcMar>
          </w:tcPr>
          <w:p>
            <w:r>
              <w:rPr>
                <w:b/>
                <w:color w:val="FFFFFF"/>
                <w:sz w:val="19"/>
              </w:rPr>
              <w:t>RFC Standards &amp; Implementation</w:t>
            </w:r>
          </w:p>
        </w:tc>
      </w:tr>
      <w:tr>
        <w:tc>
          <w:tcPr>
            <w:tcW w:type="dxa" w:w="3264"/>
            <w:shd w:fill="FFFFFF"/>
            <w:tcMar>
              <w:top w:w="60" w:type="dxa"/>
              <w:bottom w:w="60" w:type="dxa"/>
              <w:left w:w="100" w:type="dxa"/>
              <w:right w:w="100" w:type="dxa"/>
            </w:tcMar>
          </w:tcPr>
          <w:p>
            <w:r>
              <w:rPr>
                <w:b/>
                <w:sz w:val="18"/>
              </w:rPr>
              <w:t>Stage A</w:t>
            </w:r>
          </w:p>
        </w:tc>
        <w:tc>
          <w:tcPr>
            <w:tcW w:type="dxa" w:w="3264"/>
            <w:shd w:fill="FFFFFF"/>
            <w:tcMar>
              <w:top w:w="60" w:type="dxa"/>
              <w:bottom w:w="60" w:type="dxa"/>
              <w:left w:w="100" w:type="dxa"/>
              <w:right w:w="100" w:type="dxa"/>
            </w:tcMar>
          </w:tcPr>
          <w:p>
            <w:r>
              <w:rPr>
                <w:sz w:val="18"/>
              </w:rPr>
              <w:t>Parse &amp; Normalize</w:t>
            </w:r>
          </w:p>
        </w:tc>
        <w:tc>
          <w:tcPr>
            <w:tcW w:type="dxa" w:w="3264"/>
            <w:shd w:fill="FFFFFF"/>
            <w:tcMar>
              <w:top w:w="60" w:type="dxa"/>
              <w:bottom w:w="60" w:type="dxa"/>
              <w:left w:w="100" w:type="dxa"/>
              <w:right w:w="100" w:type="dxa"/>
            </w:tcMar>
          </w:tcPr>
          <w:p>
            <w:r>
              <w:rPr>
                <w:sz w:val="18"/>
              </w:rPr>
              <w:t>Splits newlines, commas, semicolons, and spaces. Deduplicates, lowercases domain, validates RFC syntax. Enforces 100 address limit.</w:t>
            </w:r>
          </w:p>
        </w:tc>
      </w:tr>
      <w:tr>
        <w:tc>
          <w:tcPr>
            <w:tcW w:type="dxa" w:w="3264"/>
            <w:shd w:fill="F8FAFC"/>
            <w:tcMar>
              <w:top w:w="60" w:type="dxa"/>
              <w:bottom w:w="60" w:type="dxa"/>
              <w:left w:w="100" w:type="dxa"/>
              <w:right w:w="100" w:type="dxa"/>
            </w:tcMar>
          </w:tcPr>
          <w:p>
            <w:r>
              <w:rPr>
                <w:b/>
                <w:sz w:val="18"/>
              </w:rPr>
              <w:t>Stage B</w:t>
            </w:r>
          </w:p>
        </w:tc>
        <w:tc>
          <w:tcPr>
            <w:tcW w:type="dxa" w:w="3264"/>
            <w:shd w:fill="F8FAFC"/>
            <w:tcMar>
              <w:top w:w="60" w:type="dxa"/>
              <w:bottom w:w="60" w:type="dxa"/>
              <w:left w:w="100" w:type="dxa"/>
              <w:right w:w="100" w:type="dxa"/>
            </w:tcMar>
          </w:tcPr>
          <w:p>
            <w:r>
              <w:rPr>
                <w:sz w:val="18"/>
              </w:rPr>
              <w:t>DNS &amp; Mail Server</w:t>
            </w:r>
          </w:p>
        </w:tc>
        <w:tc>
          <w:tcPr>
            <w:tcW w:type="dxa" w:w="3264"/>
            <w:shd w:fill="F8FAFC"/>
            <w:tcMar>
              <w:top w:w="60" w:type="dxa"/>
              <w:bottom w:w="60" w:type="dxa"/>
              <w:left w:w="100" w:type="dxa"/>
              <w:right w:w="100" w:type="dxa"/>
            </w:tcMar>
          </w:tcPr>
          <w:p>
            <w:r>
              <w:rPr>
                <w:sz w:val="18"/>
              </w:rPr>
              <w:t>Queries MX sorted by priority. Detects RFC 7505 Null MX (0 .) refusing email. Implements RFC 5321 A/AAAA mail fallback. Blocks SSRF private IPs.</w:t>
            </w:r>
          </w:p>
        </w:tc>
      </w:tr>
      <w:tr>
        <w:tc>
          <w:tcPr>
            <w:tcW w:type="dxa" w:w="3264"/>
            <w:shd w:fill="FFFFFF"/>
            <w:tcMar>
              <w:top w:w="60" w:type="dxa"/>
              <w:bottom w:w="60" w:type="dxa"/>
              <w:left w:w="100" w:type="dxa"/>
              <w:right w:w="100" w:type="dxa"/>
            </w:tcMar>
          </w:tcPr>
          <w:p>
            <w:r>
              <w:rPr>
                <w:b/>
                <w:sz w:val="18"/>
              </w:rPr>
              <w:t>Stage C</w:t>
            </w:r>
          </w:p>
        </w:tc>
        <w:tc>
          <w:tcPr>
            <w:tcW w:type="dxa" w:w="3264"/>
            <w:shd w:fill="FFFFFF"/>
            <w:tcMar>
              <w:top w:w="60" w:type="dxa"/>
              <w:bottom w:w="60" w:type="dxa"/>
              <w:left w:w="100" w:type="dxa"/>
              <w:right w:w="100" w:type="dxa"/>
            </w:tcMar>
          </w:tcPr>
          <w:p>
            <w:r>
              <w:rPr>
                <w:sz w:val="18"/>
              </w:rPr>
              <w:t>Heuristic Profiling</w:t>
            </w:r>
          </w:p>
        </w:tc>
        <w:tc>
          <w:tcPr>
            <w:tcW w:type="dxa" w:w="3264"/>
            <w:shd w:fill="FFFFFF"/>
            <w:tcMar>
              <w:top w:w="60" w:type="dxa"/>
              <w:bottom w:w="60" w:type="dxa"/>
              <w:left w:w="100" w:type="dxa"/>
              <w:right w:w="100" w:type="dxa"/>
            </w:tcMar>
          </w:tcPr>
          <w:p>
            <w:r>
              <w:rPr>
                <w:sz w:val="18"/>
              </w:rPr>
              <w:t>Cross-references 250+ disposable email domains and detects role accounts (admin@, support@, info@) adding informative flags.</w:t>
            </w:r>
          </w:p>
        </w:tc>
      </w:tr>
      <w:tr>
        <w:tc>
          <w:tcPr>
            <w:tcW w:type="dxa" w:w="3264"/>
            <w:shd w:fill="F8FAFC"/>
            <w:tcMar>
              <w:top w:w="60" w:type="dxa"/>
              <w:bottom w:w="60" w:type="dxa"/>
              <w:left w:w="100" w:type="dxa"/>
              <w:right w:w="100" w:type="dxa"/>
            </w:tcMar>
          </w:tcPr>
          <w:p>
            <w:r>
              <w:rPr>
                <w:b/>
                <w:sz w:val="18"/>
              </w:rPr>
              <w:t>Stage D</w:t>
            </w:r>
          </w:p>
        </w:tc>
        <w:tc>
          <w:tcPr>
            <w:tcW w:type="dxa" w:w="3264"/>
            <w:shd w:fill="F8FAFC"/>
            <w:tcMar>
              <w:top w:w="60" w:type="dxa"/>
              <w:bottom w:w="60" w:type="dxa"/>
              <w:left w:w="100" w:type="dxa"/>
              <w:right w:w="100" w:type="dxa"/>
            </w:tcMar>
          </w:tcPr>
          <w:p>
            <w:r>
              <w:rPr>
                <w:sz w:val="18"/>
              </w:rPr>
              <w:t>Safe SMTP Probe</w:t>
            </w:r>
          </w:p>
        </w:tc>
        <w:tc>
          <w:tcPr>
            <w:tcW w:type="dxa" w:w="3264"/>
            <w:shd w:fill="F8FAFC"/>
            <w:tcMar>
              <w:top w:w="60" w:type="dxa"/>
              <w:bottom w:w="60" w:type="dxa"/>
              <w:left w:w="100" w:type="dxa"/>
              <w:right w:w="100" w:type="dxa"/>
            </w:tcMar>
          </w:tcPr>
          <w:p>
            <w:r>
              <w:rPr>
                <w:sz w:val="18"/>
              </w:rPr>
              <w:t>Executes EHLO -&gt; MAIL FROM -&gt; RCPT TO -&gt; QUIT on port 25. Never issues DATA. Retries temporary greylisting once.</w:t>
            </w:r>
          </w:p>
        </w:tc>
      </w:tr>
      <w:tr>
        <w:tc>
          <w:tcPr>
            <w:tcW w:type="dxa" w:w="3264"/>
            <w:shd w:fill="FFFFFF"/>
            <w:tcMar>
              <w:top w:w="60" w:type="dxa"/>
              <w:bottom w:w="60" w:type="dxa"/>
              <w:left w:w="100" w:type="dxa"/>
              <w:right w:w="100" w:type="dxa"/>
            </w:tcMar>
          </w:tcPr>
          <w:p>
            <w:r>
              <w:rPr>
                <w:b/>
                <w:sz w:val="18"/>
              </w:rPr>
              <w:t>Stage E</w:t>
            </w:r>
          </w:p>
        </w:tc>
        <w:tc>
          <w:tcPr>
            <w:tcW w:type="dxa" w:w="3264"/>
            <w:shd w:fill="FFFFFF"/>
            <w:tcMar>
              <w:top w:w="60" w:type="dxa"/>
              <w:bottom w:w="60" w:type="dxa"/>
              <w:left w:w="100" w:type="dxa"/>
              <w:right w:w="100" w:type="dxa"/>
            </w:tcMar>
          </w:tcPr>
          <w:p>
            <w:r>
              <w:rPr>
                <w:sz w:val="18"/>
              </w:rPr>
              <w:t>Catch-All Detection</w:t>
            </w:r>
          </w:p>
        </w:tc>
        <w:tc>
          <w:tcPr>
            <w:tcW w:type="dxa" w:w="3264"/>
            <w:shd w:fill="FFFFFF"/>
            <w:tcMar>
              <w:top w:w="60" w:type="dxa"/>
              <w:bottom w:w="60" w:type="dxa"/>
              <w:left w:w="100" w:type="dxa"/>
              <w:right w:w="100" w:type="dxa"/>
            </w:tcMar>
          </w:tcPr>
          <w:p>
            <w:r>
              <w:rPr>
                <w:sz w:val="18"/>
              </w:rPr>
              <w:t>Probes synthetic randomized mailbox. If server accepts bogus address, flags domain as catch-all and assigns Unknown verdict.</w:t>
            </w:r>
          </w:p>
        </w:tc>
      </w:tr>
      <w:tr>
        <w:tc>
          <w:tcPr>
            <w:tcW w:type="dxa" w:w="3264"/>
            <w:shd w:fill="F8FAFC"/>
            <w:tcMar>
              <w:top w:w="60" w:type="dxa"/>
              <w:bottom w:w="60" w:type="dxa"/>
              <w:left w:w="100" w:type="dxa"/>
              <w:right w:w="100" w:type="dxa"/>
            </w:tcMar>
          </w:tcPr>
          <w:p>
            <w:r>
              <w:rPr>
                <w:b/>
                <w:sz w:val="18"/>
              </w:rPr>
              <w:t>Stage F</w:t>
            </w:r>
          </w:p>
        </w:tc>
        <w:tc>
          <w:tcPr>
            <w:tcW w:type="dxa" w:w="3264"/>
            <w:shd w:fill="F8FAFC"/>
            <w:tcMar>
              <w:top w:w="60" w:type="dxa"/>
              <w:bottom w:w="60" w:type="dxa"/>
              <w:left w:w="100" w:type="dxa"/>
              <w:right w:w="100" w:type="dxa"/>
            </w:tcMar>
          </w:tcPr>
          <w:p>
            <w:r>
              <w:rPr>
                <w:sz w:val="18"/>
              </w:rPr>
              <w:t>Classification</w:t>
            </w:r>
          </w:p>
        </w:tc>
        <w:tc>
          <w:tcPr>
            <w:tcW w:type="dxa" w:w="3264"/>
            <w:shd w:fill="F8FAFC"/>
            <w:tcMar>
              <w:top w:w="60" w:type="dxa"/>
              <w:bottom w:w="60" w:type="dxa"/>
              <w:left w:w="100" w:type="dxa"/>
              <w:right w:w="100" w:type="dxa"/>
            </w:tcMar>
          </w:tcPr>
          <w:p>
            <w:r>
              <w:rPr>
                <w:sz w:val="18"/>
              </w:rPr>
              <w:t>Produces standardized verdicts: deliverable, bounce, or unknown with machine-readable reasons and human explanations.</w:t>
            </w:r>
          </w:p>
        </w:tc>
      </w:tr>
    </w:tbl>
    <w:p>
      <w:pPr>
        <w:spacing w:after="160"/>
      </w:pPr>
    </w:p>
    <w:p>
      <w:pPr>
        <w:pStyle w:val="Heading1"/>
        <w:spacing w:before="240" w:after="80"/>
      </w:pPr>
      <w:r>
        <w:t>4. Ethical, Privacy &amp; Security Safeguards</w:t>
      </w:r>
    </w:p>
    <w:p>
      <w:pPr>
        <w:pStyle w:val="ListBullet"/>
        <w:spacing w:after="60"/>
      </w:pPr>
      <w:r>
        <w:rPr>
          <w:b/>
          <w:sz w:val="19"/>
        </w:rPr>
        <w:t xml:space="preserve">Zero Message Transmission: </w:t>
      </w:r>
      <w:r>
        <w:rPr>
          <w:sz w:val="19"/>
        </w:rPr>
        <w:t>SMTP conversations are strictly terminated before the DATA command. Code assertions guarantee that email bodies are never created or transmitted.</w:t>
      </w:r>
    </w:p>
    <w:p>
      <w:pPr>
        <w:pStyle w:val="ListBullet"/>
        <w:spacing w:after="60"/>
      </w:pPr>
      <w:r>
        <w:rPr>
          <w:b/>
          <w:sz w:val="19"/>
        </w:rPr>
        <w:t xml:space="preserve">No Data Storage: </w:t>
      </w:r>
      <w:r>
        <w:rPr>
          <w:sz w:val="19"/>
        </w:rPr>
        <w:t>Submitted email lists are processed purely in-memory and immediately discarded. No database or persistent file storage is used.</w:t>
      </w:r>
    </w:p>
    <w:p>
      <w:pPr>
        <w:pStyle w:val="ListBullet"/>
        <w:spacing w:after="60"/>
      </w:pPr>
      <w:r>
        <w:rPr>
          <w:b/>
          <w:sz w:val="19"/>
        </w:rPr>
        <w:t xml:space="preserve">Safe Masked Logging: </w:t>
      </w:r>
      <w:r>
        <w:rPr>
          <w:sz w:val="19"/>
        </w:rPr>
        <w:t>All server logs mask local parts (e.g. s***t@github.com, a***n@stripe.com) to protect user confidentiality.</w:t>
      </w:r>
    </w:p>
    <w:p>
      <w:pPr>
        <w:pStyle w:val="ListBullet"/>
        <w:spacing w:after="60"/>
      </w:pPr>
      <w:r>
        <w:rPr>
          <w:b/>
          <w:sz w:val="19"/>
        </w:rPr>
        <w:t xml:space="preserve">SSRF Prevention: </w:t>
      </w:r>
      <w:r>
        <w:rPr>
          <w:sz w:val="19"/>
        </w:rPr>
        <w:t>Mail server hostnames resolving to private, loopback (127.0.0.1, ::1), or link-local cloud metadata (169.254.169.254) addresses are screened and blocked before connection.</w:t>
      </w:r>
    </w:p>
    <w:p>
      <w:pPr>
        <w:pStyle w:val="ListBullet"/>
        <w:spacing w:after="60"/>
      </w:pPr>
      <w:r>
        <w:rPr>
          <w:b/>
          <w:sz w:val="19"/>
        </w:rPr>
        <w:t xml:space="preserve">Degraded Mode Transparency: </w:t>
      </w:r>
      <w:r>
        <w:rPr>
          <w:sz w:val="19"/>
        </w:rPr>
        <w:t>When deployed on cloud hosting environments where outbound port 25 is firewalled, the application detects this and runs in honest DNS-Only Degraded Mode rather than simulating fake verification.</w:t>
      </w:r>
    </w:p>
    <w:p>
      <w:pPr>
        <w:spacing w:after="160"/>
      </w:pPr>
    </w:p>
    <w:p>
      <w:pPr>
        <w:pStyle w:val="Heading1"/>
        <w:spacing w:before="240" w:after="80"/>
      </w:pPr>
      <w:r>
        <w:t>5. Automated Test Suite &amp; Code Quality</w:t>
      </w:r>
    </w:p>
    <w:p>
      <w:pPr>
        <w:spacing w:after="120"/>
      </w:pPr>
      <w:r>
        <w:t>The project includes a comprehensive automated test suite with 100% mocked external dependencies (DNS and SMTP lookups), guaranteeing independent and reproducible test execution without contacting external mail servers.</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after="0"/>
            </w:pPr>
            <w:r>
              <w:rPr>
                <w:rFonts w:ascii="Consolas" w:hAnsi="Consolas"/>
                <w:color w:val="0F172A"/>
                <w:sz w:val="17"/>
              </w:rPr>
              <w:t>Pytest Results: 32 / 32 Passed (100% success rate in 1.48s)</w:t>
              <w:br/>
              <w:t>• tests/test_syntax.py (6 passed) — multi-delimiter parsing, deduplication, log masking</w:t>
              <w:br/>
              <w:t>• tests/test_dns_checks.py (7 passed) — MX lookup, RFC 7505 Null MX, A/AAAA fallback, SSRF screening</w:t>
              <w:br/>
              <w:t>• tests/test_classify.py (3 passed) — deliverability verdicts, disposable heuristics, role accounts</w:t>
              <w:br/>
              <w:t>• tests/test_smtp_probe.py (8 passed) — acceptance, rejection, catch-all, and NO-DATA guarantee</w:t>
              <w:br/>
              <w:t>• tests/test_pipeline.py (3 passed) — batch concurrency, 100-address limit, deduplication</w:t>
              <w:br/>
              <w:t>• tests/test_api.py (5 passed) — /api/health, /api/check, rate limiting, and static serving</w:t>
              <w:br/>
              <w:br/>
              <w:t>Code Quality: Ruff linter and formatter executed with 0 errors.</w:t>
            </w:r>
          </w:p>
        </w:tc>
      </w:tr>
    </w:tbl>
    <w:p>
      <w:pPr>
        <w:spacing w:after="160"/>
      </w:pPr>
    </w:p>
    <w:p>
      <w:pPr>
        <w:pStyle w:val="Heading1"/>
        <w:spacing w:before="240" w:after="80"/>
      </w:pPr>
      <w:r>
        <w:t>6. Live Deployment Verification Evidence</w:t>
      </w:r>
    </w:p>
    <w:p>
      <w:pPr>
        <w:spacing w:after="120"/>
      </w:pPr>
      <w:r>
        <w:t>A live integration test was conducted against the deployed production endpoint on Vercel (https://mailchecker-steel.vercel.app/api/check), confirming active end-to-end operation:</w:t>
      </w:r>
    </w:p>
    <w:tbl>
      <w:tblPr>
        <w:tblW w:type="auto" w:w="0"/>
        <w:jc w:val="center"/>
        <w:tblLook w:firstColumn="1" w:firstRow="1" w:lastColumn="0" w:lastRow="0" w:noHBand="0" w:noVBand="1" w:val="04A0"/>
      </w:tblPr>
      <w:tblGrid>
        <w:gridCol w:w="9792"/>
      </w:tblGrid>
      <w:tr>
        <w:tc>
          <w:tcPr>
            <w:tcW w:type="dxa" w:w="9792"/>
            <w:shd w:fill="0F172A"/>
            <w:tcMar>
              <w:top w:w="80" w:type="dxa"/>
              <w:bottom w:w="80" w:type="dxa"/>
              <w:left w:w="120" w:type="dxa"/>
              <w:right w:w="120" w:type="dxa"/>
            </w:tcMar>
          </w:tcPr>
          <w:p>
            <w:pPr>
              <w:spacing w:after="0"/>
            </w:pPr>
            <w:r>
              <w:rPr>
                <w:rFonts w:ascii="Consolas" w:hAnsi="Consolas"/>
                <w:color w:val="E2E8F0"/>
                <w:sz w:val="17"/>
              </w:rPr>
              <w:t>POST https://mailchecker-steel.vercel.app/api/check</w:t>
              <w:br/>
              <w:t>HTTP/2 200 OK</w:t>
              <w:br/>
              <w:t>Content-Type: application/json</w:t>
              <w:br/>
              <w:br/>
              <w:t>{</w:t>
              <w:br/>
              <w:t xml:space="preserve">  "total": 4,</w:t>
              <w:br/>
              <w:t xml:space="preserve">  "deliverable": 0,</w:t>
              <w:br/>
              <w:t xml:space="preserve">  "bounce": 2,</w:t>
              <w:br/>
              <w:t xml:space="preserve">  "unknown": 2,</w:t>
              <w:br/>
              <w:t xml:space="preserve">  "mode": "dns_only",</w:t>
              <w:br/>
              <w:t xml:space="preserve">  "results": [</w:t>
              <w:br/>
              <w:t xml:space="preserve">    { "email": "support@github.com", "verdict": "unknown", "reason": "smtp_unavailable", "flags": ["role_account"] },</w:t>
              <w:br/>
              <w:t xml:space="preserve">    { "email": "admin@stripe.com", "verdict": "unknown", "reason": "smtp_unavailable", "flags": ["role_account"] },</w:t>
              <w:br/>
              <w:t xml:space="preserve">    { "email": "invalid-email", "verdict": "bounce", "reason": "invalid_syntax" },</w:t>
              <w:br/>
              <w:t xml:space="preserve">    { "email": "user@fake404domainxyz.org", "verdict": "bounce", "reason": "no_mail_server" }</w:t>
              <w:br/>
              <w:t xml:space="preserve">  ]</w:t>
              <w:br/>
              <w:t>}</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