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220"/>
              <w:left w:type="dxa" w:w="320"/>
              <w:bottom w:type="dxa" w:w="220"/>
              <w:right w:type="dxa" w:w="320"/>
            </w:tcMar>
          </w:tcPr>
          <w:p>
            <w:pPr>
              <w:jc w:val="center"/>
            </w:pPr>
            <w:r>
              <w:rPr>
                <w:rFonts w:ascii="Arial" w:cs="Arial" w:eastAsia="Arial" w:hAnsi="Arial"/>
                <w:b/>
                <w:bCs/>
                <w:color w:val="FFFFFF"/>
                <w:sz w:val="40"/>
                <w:szCs w:val="40"/>
              </w:rPr>
              <w:t xml:space="preserve">THE 40+ RETIREMENT RESET</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A623" w:val="clear"/>
            <w:tcMar>
              <w:top w:type="dxa" w:w="220"/>
              <w:left w:type="dxa" w:w="320"/>
              <w:bottom w:type="dxa" w:w="220"/>
              <w:right w:type="dxa" w:w="320"/>
            </w:tcMar>
          </w:tcPr>
          <w:p>
            <w:pPr>
              <w:jc w:val="center"/>
            </w:pPr>
            <w:r>
              <w:rPr>
                <w:rFonts w:ascii="Arial" w:cs="Arial" w:eastAsia="Arial" w:hAnsi="Arial"/>
                <w:b/>
                <w:bCs/>
                <w:color w:val="0D1B2A"/>
                <w:sz w:val="23"/>
                <w:szCs w:val="23"/>
              </w:rPr>
              <w:t xml:space="preserve">If You're Behind on Retirement Savings, Here's How to Build</w:t>
            </w:r>
          </w:p>
          <w:p>
            <w:pPr>
              <w:jc w:val="center"/>
            </w:pPr>
            <w:r>
              <w:rPr>
                <w:rFonts w:ascii="Arial" w:cs="Arial" w:eastAsia="Arial" w:hAnsi="Arial"/>
                <w:b w:val="false"/>
                <w:bCs w:val="false"/>
                <w:color w:val="0D1B2A"/>
                <w:sz w:val="22"/>
                <w:szCs w:val="22"/>
              </w:rPr>
              <w:t xml:space="preserve">a 7-Figure Nest Egg in 15 Years — Starting With Whatever You Have Right Now</w:t>
            </w:r>
          </w:p>
        </w:tc>
      </w:tr>
    </w:tbl>
    <w:p>
      <w:pPr>
        <w:spacing w:before="1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F79" w:sz="6"/>
              <w:left w:val="single" w:color="1B7F79" w:sz="6"/>
              <w:bottom w:val="single" w:color="1B7F79" w:sz="6"/>
              <w:right w:val="single" w:color="1B7F79" w:sz="6"/>
            </w:tcBorders>
            <w:shd w:fill="F4F7FA" w:val="clear"/>
            <w:tcMar>
              <w:top w:type="dxa" w:w="160"/>
              <w:left w:type="dxa" w:w="240"/>
              <w:bottom w:type="dxa" w:w="160"/>
              <w:right w:type="dxa" w:w="240"/>
            </w:tcMar>
          </w:tcPr>
          <w:p>
            <w:pPr>
              <w:spacing w:before="50" w:after="50"/>
              <w:jc w:val="center"/>
            </w:pPr>
            <w:r>
              <w:rPr>
                <w:rFonts w:ascii="Arial" w:cs="Arial" w:eastAsia="Arial" w:hAnsi="Arial"/>
                <w:b/>
                <w:bCs/>
                <w:color w:val="0D1B2A"/>
                <w:sz w:val="26"/>
                <w:szCs w:val="26"/>
              </w:rPr>
              <w:t xml:space="preserve">You're not behind on retirement.</w:t>
            </w:r>
          </w:p>
          <w:p>
            <w:pPr>
              <w:spacing w:before="50" w:after="50"/>
              <w:jc w:val="center"/>
            </w:pPr>
            <w:r>
              <w:rPr>
                <w:rFonts w:ascii="Arial" w:cs="Arial" w:eastAsia="Arial" w:hAnsi="Arial"/>
                <w:b w:val="false"/>
                <w:bCs w:val="false"/>
                <w:color w:val="0D1B2A"/>
                <w:sz w:val="22"/>
                <w:szCs w:val="22"/>
              </w:rPr>
              <w:t xml:space="preserve">You're at the beginning of the best financial decade of your life.</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1B7F79" w:val="clear"/>
            <w:tcMar>
              <w:top w:type="dxa" w:w="120"/>
              <w:left w:type="dxa" w:w="100"/>
              <w:bottom w:type="dxa" w:w="120"/>
              <w:right w:type="dxa" w:w="100"/>
            </w:tcMar>
          </w:tcPr>
          <w:p>
            <w:pPr>
              <w:jc w:val="center"/>
            </w:pPr>
            <w:r>
              <w:rPr>
                <w:rFonts w:ascii="Arial" w:cs="Arial" w:eastAsia="Arial" w:hAnsi="Arial"/>
                <w:b/>
                <w:bCs/>
                <w:color w:val="FFFFFF"/>
                <w:sz w:val="22"/>
                <w:szCs w:val="22"/>
              </w:rPr>
              <w:t xml:space="preserve">PHASE 1</w:t>
            </w:r>
          </w:p>
          <w:p>
            <w:pPr>
              <w:jc w:val="center"/>
            </w:pPr>
            <w:r>
              <w:rPr>
                <w:rFonts w:ascii="Arial" w:cs="Arial" w:eastAsia="Arial" w:hAnsi="Arial"/>
                <w:color w:val="FFFFCC"/>
                <w:sz w:val="18"/>
                <w:szCs w:val="18"/>
              </w:rPr>
              <w:t xml:space="preserve">Foundation
Years 1–3</w:t>
            </w:r>
          </w:p>
        </w:tc>
        <w:tc>
          <w:tcPr>
            <w:tcW w:type="dxa" w:w="3120"/>
            <w:tcBorders>
              <w:top w:val="none" w:color="FFFFFF" w:sz="0"/>
              <w:left w:val="none" w:color="FFFFFF" w:sz="0"/>
              <w:bottom w:val="none" w:color="FFFFFF" w:sz="0"/>
              <w:right w:val="none" w:color="FFFFFF" w:sz="0"/>
            </w:tcBorders>
            <w:shd w:fill="6D28D9" w:val="clear"/>
            <w:tcMar>
              <w:top w:type="dxa" w:w="120"/>
              <w:left w:type="dxa" w:w="100"/>
              <w:bottom w:type="dxa" w:w="120"/>
              <w:right w:type="dxa" w:w="100"/>
            </w:tcMar>
          </w:tcPr>
          <w:p>
            <w:pPr>
              <w:jc w:val="center"/>
            </w:pPr>
            <w:r>
              <w:rPr>
                <w:rFonts w:ascii="Arial" w:cs="Arial" w:eastAsia="Arial" w:hAnsi="Arial"/>
                <w:b/>
                <w:bCs/>
                <w:color w:val="FFFFFF"/>
                <w:sz w:val="22"/>
                <w:szCs w:val="22"/>
              </w:rPr>
              <w:t xml:space="preserve">PHASE 2</w:t>
            </w:r>
          </w:p>
          <w:p>
            <w:pPr>
              <w:jc w:val="center"/>
            </w:pPr>
            <w:r>
              <w:rPr>
                <w:rFonts w:ascii="Arial" w:cs="Arial" w:eastAsia="Arial" w:hAnsi="Arial"/>
                <w:color w:val="FFFFCC"/>
                <w:sz w:val="18"/>
                <w:szCs w:val="18"/>
              </w:rPr>
              <w:t xml:space="preserve">Acceleration
Years 4–9</w:t>
            </w:r>
          </w:p>
        </w:tc>
        <w:tc>
          <w:tcPr>
            <w:tcW w:type="dxa" w:w="3120"/>
            <w:tcBorders>
              <w:top w:val="none" w:color="FFFFFF" w:sz="0"/>
              <w:left w:val="none" w:color="FFFFFF" w:sz="0"/>
              <w:bottom w:val="none" w:color="FFFFFF" w:sz="0"/>
              <w:right w:val="none" w:color="FFFFFF" w:sz="0"/>
            </w:tcBorders>
            <w:shd w:fill="1A7A4A" w:val="clear"/>
            <w:tcMar>
              <w:top w:type="dxa" w:w="120"/>
              <w:left w:type="dxa" w:w="100"/>
              <w:bottom w:type="dxa" w:w="120"/>
              <w:right w:type="dxa" w:w="100"/>
            </w:tcMar>
          </w:tcPr>
          <w:p>
            <w:pPr>
              <w:jc w:val="center"/>
            </w:pPr>
            <w:r>
              <w:rPr>
                <w:rFonts w:ascii="Arial" w:cs="Arial" w:eastAsia="Arial" w:hAnsi="Arial"/>
                <w:b/>
                <w:bCs/>
                <w:color w:val="FFFFFF"/>
                <w:sz w:val="22"/>
                <w:szCs w:val="22"/>
              </w:rPr>
              <w:t xml:space="preserve">PHASE 3</w:t>
            </w:r>
          </w:p>
          <w:p>
            <w:pPr>
              <w:jc w:val="center"/>
            </w:pPr>
            <w:r>
              <w:rPr>
                <w:rFonts w:ascii="Arial" w:cs="Arial" w:eastAsia="Arial" w:hAnsi="Arial"/>
                <w:color w:val="FFFFCC"/>
                <w:sz w:val="18"/>
                <w:szCs w:val="18"/>
              </w:rPr>
              <w:t xml:space="preserve">Compounding
Years 10–15</w:t>
            </w:r>
          </w:p>
        </w:tc>
      </w:tr>
    </w:tbl>
    <w:p>
      <w:pPr>
        <w:spacing w:before="200" w:after="0"/>
      </w:pPr>
    </w:p>
    <w:p>
      <w:pPr>
        <w:spacing w:before="60" w:after="60"/>
        <w:jc w:val="center"/>
      </w:pPr>
      <w:r>
        <w:rPr>
          <w:rFonts w:ascii="Arial" w:cs="Arial" w:eastAsia="Arial" w:hAnsi="Arial"/>
          <w:color w:val="1F2937"/>
          <w:sz w:val="22"/>
          <w:szCs w:val="22"/>
        </w:rPr>
        <w:t xml:space="preserve">Cash in Blue LLC  |  Thomas Perdana  |  thomas.perdana@cashinblue.com</w:t>
      </w:r>
    </w:p>
    <w:p>
      <w:r>
        <w:br w:type="page"/>
      </w:r>
    </w:p>
    <w:p>
      <w:pPr>
        <w:pStyle w:val="Heading1"/>
        <w:spacing w:before="240" w:after="120"/>
      </w:pPr>
      <w:r>
        <w:rPr>
          <w:rFonts w:ascii="Arial" w:cs="Arial" w:eastAsia="Arial" w:hAnsi="Arial"/>
          <w:b/>
          <w:bCs/>
          <w:color w:val="0D1B2A"/>
          <w:sz w:val="36"/>
          <w:szCs w:val="36"/>
        </w:rPr>
        <w:t xml:space="preserve">First: Put Down the Shame</w:t>
      </w:r>
    </w:p>
    <w:p>
      <w:pPr>
        <w:pBdr>
          <w:bottom w:val="single" w:color="1B7F79" w:sz="8" w:space="1"/>
        </w:pBdr>
        <w:spacing w:before="120" w:after="120"/>
      </w:pPr>
    </w:p>
    <w:p>
      <w:pPr>
        <w:spacing w:before="60" w:after="60"/>
        <w:jc w:val="both"/>
      </w:pPr>
      <w:r>
        <w:rPr>
          <w:rFonts w:ascii="Arial" w:cs="Arial" w:eastAsia="Arial" w:hAnsi="Arial"/>
          <w:color w:val="1F2937"/>
          <w:sz w:val="22"/>
          <w:szCs w:val="22"/>
        </w:rPr>
        <w:t xml:space="preserve">You've heard "start early" your entire adult life. You didn't — or couldn't — and now every time retirement comes up, there's a low-grade dread underneath it. A voice that says you blew it. That the window closed. That you're looking at a diminished future.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6"/>
              <w:left w:val="single" w:color="F5A623" w:sz="6"/>
              <w:bottom w:val="single" w:color="F5A623" w:sz="6"/>
              <w:right w:val="single" w:color="F5A623" w:sz="6"/>
            </w:tcBorders>
            <w:shd w:fill="FFF8E7" w:val="clear"/>
            <w:tcMar>
              <w:top w:type="dxa" w:w="160"/>
              <w:left w:type="dxa" w:w="240"/>
              <w:bottom w:type="dxa" w:w="160"/>
              <w:right w:type="dxa" w:w="240"/>
            </w:tcMar>
          </w:tcPr>
          <w:p>
            <w:pPr>
              <w:spacing w:before="50" w:after="50"/>
              <w:jc w:val="center"/>
            </w:pPr>
            <w:r>
              <w:rPr>
                <w:rFonts w:ascii="Arial" w:cs="Arial" w:eastAsia="Arial" w:hAnsi="Arial"/>
                <w:b/>
                <w:bCs/>
                <w:color w:val="0D1B2A"/>
                <w:sz w:val="24"/>
                <w:szCs w:val="24"/>
              </w:rPr>
              <w:t xml:space="preserve">That voice is wrong. And it's costing you money.</w:t>
            </w:r>
          </w:p>
        </w:tc>
      </w:tr>
    </w:tbl>
    <w:p>
      <w:pPr>
        <w:spacing w:before="80" w:after="0"/>
      </w:pPr>
    </w:p>
    <w:p>
      <w:pPr>
        <w:spacing w:before="60" w:after="60"/>
        <w:jc w:val="both"/>
      </w:pPr>
      <w:r>
        <w:rPr>
          <w:rFonts w:ascii="Arial" w:cs="Arial" w:eastAsia="Arial" w:hAnsi="Arial"/>
          <w:color w:val="1F2937"/>
          <w:sz w:val="22"/>
          <w:szCs w:val="22"/>
        </w:rPr>
        <w:t xml:space="preserve">Here's the truth: your 40s and early 50s are not the tail end of your retirement window. For most people, they're the highest-leverage window — higher income, more financial clarity, kids getting older, debts getting smaller, and the IRS giving you special contribution room specifically because you're catching up.</w:t>
      </w:r>
    </w:p>
    <w:p>
      <w:pPr>
        <w:spacing w:before="60" w:after="0"/>
      </w:pPr>
    </w:p>
    <w:p>
      <w:pPr>
        <w:spacing w:before="60" w:after="60"/>
        <w:jc w:val="both"/>
      </w:pPr>
      <w:r>
        <w:rPr>
          <w:rFonts w:ascii="Arial" w:cs="Arial" w:eastAsia="Arial" w:hAnsi="Arial"/>
          <w:color w:val="1F2937"/>
          <w:sz w:val="22"/>
          <w:szCs w:val="22"/>
        </w:rPr>
        <w:t xml:space="preserve">The people who built 7-figure retirement accounts starting at 42, 45, or 50 didn't get lucky. They stopped believing the "too late" story and started playing offense with the decade-plus they had left.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F79" w:sz="6"/>
              <w:left w:val="single" w:color="1B7F79" w:sz="6"/>
              <w:bottom w:val="single" w:color="1B7F79" w:sz="6"/>
              <w:right w:val="single" w:color="1B7F79" w:sz="6"/>
            </w:tcBorders>
            <w:shd w:fill="F4F7FA" w:val="clear"/>
            <w:tcMar>
              <w:top w:type="dxa" w:w="160"/>
              <w:left w:type="dxa" w:w="240"/>
              <w:bottom w:type="dxa" w:w="160"/>
              <w:right w:type="dxa" w:w="240"/>
            </w:tcMar>
          </w:tcPr>
          <w:p>
            <w:pPr>
              <w:spacing w:before="50" w:after="50"/>
              <w:jc w:val="center"/>
            </w:pPr>
            <w:r>
              <w:rPr>
                <w:rFonts w:ascii="Arial" w:cs="Arial" w:eastAsia="Arial" w:hAnsi="Arial"/>
                <w:b/>
                <w:bCs/>
                <w:color w:val="0D1B2A"/>
                <w:sz w:val="24"/>
                <w:szCs w:val="24"/>
              </w:rPr>
              <w:t xml:space="preserve">You're not behind on retirement.</w:t>
            </w:r>
          </w:p>
          <w:p>
            <w:pPr>
              <w:spacing w:before="50" w:after="50"/>
              <w:jc w:val="center"/>
            </w:pPr>
            <w:r>
              <w:rPr>
                <w:rFonts w:ascii="Arial" w:cs="Arial" w:eastAsia="Arial" w:hAnsi="Arial"/>
                <w:b w:val="false"/>
                <w:bCs w:val="false"/>
                <w:color w:val="0D1B2A"/>
                <w:sz w:val="22"/>
                <w:szCs w:val="22"/>
              </w:rPr>
              <w:t xml:space="preserve">You're at the beginning of the best financial decade of your life.</w:t>
            </w:r>
          </w:p>
        </w:tc>
      </w:tr>
    </w:tbl>
    <w:p>
      <w:r>
        <w:br w:type="page"/>
      </w:r>
    </w:p>
    <w:p>
      <w:pPr>
        <w:pStyle w:val="Heading1"/>
        <w:spacing w:before="240" w:after="120"/>
      </w:pPr>
      <w:r>
        <w:rPr>
          <w:rFonts w:ascii="Arial" w:cs="Arial" w:eastAsia="Arial" w:hAnsi="Arial"/>
          <w:b/>
          <w:bCs/>
          <w:color w:val="0D1B2A"/>
          <w:sz w:val="36"/>
          <w:szCs w:val="36"/>
        </w:rPr>
        <w:t xml:space="preserve">The Math That Changes Everything</w:t>
      </w:r>
    </w:p>
    <w:p>
      <w:pPr>
        <w:pBdr>
          <w:bottom w:val="single" w:color="1B7F79" w:sz="8" w:space="1"/>
        </w:pBdr>
        <w:spacing w:before="120" w:after="120"/>
      </w:pPr>
    </w:p>
    <w:p>
      <w:pPr>
        <w:spacing w:before="60" w:after="60"/>
        <w:jc w:val="both"/>
      </w:pPr>
      <w:r>
        <w:rPr>
          <w:rFonts w:ascii="Arial" w:cs="Arial" w:eastAsia="Arial" w:hAnsi="Arial"/>
          <w:color w:val="1F2937"/>
          <w:sz w:val="22"/>
          <w:szCs w:val="22"/>
        </w:rPr>
        <w:t xml:space="preserve">People who feel behind almost never run the actual numbers. They operate on a vague sense of doom. Run the math — the numbers are more hopeful than the feeling.</w:t>
      </w:r>
    </w:p>
    <w:p>
      <w:pPr>
        <w:spacing w:before="60" w:after="0"/>
      </w:pPr>
    </w:p>
    <w:p>
      <w:pPr>
        <w:spacing w:before="60" w:after="60"/>
        <w:jc w:val="both"/>
      </w:pPr>
      <w:r>
        <w:rPr>
          <w:rFonts w:ascii="Arial" w:cs="Arial" w:eastAsia="Arial" w:hAnsi="Arial"/>
          <w:b/>
          <w:bCs/>
          <w:color w:val="1F2937"/>
          <w:sz w:val="22"/>
          <w:szCs w:val="22"/>
        </w:rPr>
        <w:t xml:space="preserve">Assuming a 7.5% average annual return</w:t>
      </w:r>
      <w:r>
        <w:rPr>
          <w:rFonts w:ascii="Arial" w:cs="Arial" w:eastAsia="Arial" w:hAnsi="Arial"/>
          <w:color w:val="1F2937"/>
          <w:sz w:val="22"/>
          <w:szCs w:val="22"/>
        </w:rPr>
        <w:t xml:space="preserve"> (conservative long-term average for a diversified stock/bond portfolio):</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3660"/>
      </w:tblGrid>
      <w:tr>
        <w:tc>
          <w:tcPr>
            <w:tcW w:type="dxa" w:w="3500"/>
            <w:tcBorders>
              <w:top w:val="single" w:color="E5E7EB" w:sz="6"/>
              <w:left w:val="single" w:color="E5E7EB" w:sz="6"/>
              <w:bottom w:val="single" w:color="E5E7EB" w:sz="6"/>
              <w:right w:val="single" w:color="E5E7EB" w:sz="6"/>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Monthly Contribution</w:t>
            </w:r>
          </w:p>
        </w:tc>
        <w:tc>
          <w:tcPr>
            <w:tcW w:type="dxa" w:w="2200"/>
            <w:tcBorders>
              <w:top w:val="single" w:color="E5E7EB" w:sz="6"/>
              <w:left w:val="single" w:color="E5E7EB" w:sz="6"/>
              <w:bottom w:val="single" w:color="E5E7EB" w:sz="6"/>
              <w:right w:val="single" w:color="E5E7EB" w:sz="6"/>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Starting Age</w:t>
            </w:r>
          </w:p>
        </w:tc>
        <w:tc>
          <w:tcPr>
            <w:tcW w:type="dxa" w:w="3660"/>
            <w:tcBorders>
              <w:top w:val="single" w:color="E5E7EB" w:sz="6"/>
              <w:left w:val="single" w:color="E5E7EB" w:sz="6"/>
              <w:bottom w:val="single" w:color="E5E7EB" w:sz="6"/>
              <w:right w:val="single" w:color="E5E7EB" w:sz="6"/>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Balance at 65</w:t>
            </w:r>
          </w:p>
        </w:tc>
      </w:tr>
      <w:tr>
        <w:tc>
          <w:tcPr>
            <w:tcW w:type="dxa" w:w="35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$1,500/month</w:t>
            </w:r>
          </w:p>
        </w:tc>
        <w:tc>
          <w:tcPr>
            <w:tcW w:type="dxa" w:w="22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42</w:t>
            </w:r>
          </w:p>
        </w:tc>
        <w:tc>
          <w:tcPr>
            <w:tcW w:type="dxa" w:w="366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~$935,000</w:t>
            </w:r>
          </w:p>
        </w:tc>
      </w:tr>
      <w:tr>
        <w:tc>
          <w:tcPr>
            <w:tcW w:type="dxa" w:w="3500"/>
            <w:tcBorders>
              <w:top w:val="single" w:color="E5E7EB" w:sz="6"/>
              <w:left w:val="single" w:color="E5E7EB" w:sz="6"/>
              <w:bottom w:val="single" w:color="E5E7EB" w:sz="6"/>
              <w:right w:val="single" w:color="E5E7EB" w:sz="6"/>
            </w:tcBorders>
            <w:shd w:fill="F4F7FA" w:val="clear"/>
            <w:tcMar>
              <w:top w:type="dxa" w:w="80"/>
              <w:left w:type="dxa" w:w="120"/>
              <w:bottom w:type="dxa" w:w="80"/>
              <w:right w:type="dxa" w:w="120"/>
            </w:tcMar>
          </w:tcPr>
          <w:p>
            <w:r>
              <w:rPr>
                <w:rFonts w:ascii="Arial" w:cs="Arial" w:eastAsia="Arial" w:hAnsi="Arial"/>
                <w:b w:val="false"/>
                <w:bCs w:val="false"/>
                <w:color w:val="1F2937"/>
                <w:sz w:val="20"/>
                <w:szCs w:val="20"/>
              </w:rPr>
              <w:t xml:space="preserve">$2,000/month</w:t>
            </w:r>
          </w:p>
        </w:tc>
        <w:tc>
          <w:tcPr>
            <w:tcW w:type="dxa" w:w="2200"/>
            <w:tcBorders>
              <w:top w:val="single" w:color="E5E7EB" w:sz="6"/>
              <w:left w:val="single" w:color="E5E7EB" w:sz="6"/>
              <w:bottom w:val="single" w:color="E5E7EB" w:sz="6"/>
              <w:right w:val="single" w:color="E5E7EB" w:sz="6"/>
            </w:tcBorders>
            <w:shd w:fill="F4F7FA" w:val="clear"/>
            <w:tcMar>
              <w:top w:type="dxa" w:w="80"/>
              <w:left w:type="dxa" w:w="120"/>
              <w:bottom w:type="dxa" w:w="80"/>
              <w:right w:type="dxa" w:w="120"/>
            </w:tcMar>
          </w:tcPr>
          <w:p>
            <w:r>
              <w:rPr>
                <w:rFonts w:ascii="Arial" w:cs="Arial" w:eastAsia="Arial" w:hAnsi="Arial"/>
                <w:b w:val="false"/>
                <w:bCs w:val="false"/>
                <w:color w:val="1F2937"/>
                <w:sz w:val="20"/>
                <w:szCs w:val="20"/>
              </w:rPr>
              <w:t xml:space="preserve">42</w:t>
            </w:r>
          </w:p>
        </w:tc>
        <w:tc>
          <w:tcPr>
            <w:tcW w:type="dxa" w:w="3660"/>
            <w:tcBorders>
              <w:top w:val="single" w:color="E5E7EB" w:sz="6"/>
              <w:left w:val="single" w:color="E5E7EB" w:sz="6"/>
              <w:bottom w:val="single" w:color="E5E7EB" w:sz="6"/>
              <w:right w:val="single" w:color="E5E7EB" w:sz="6"/>
            </w:tcBorders>
            <w:shd w:fill="F4F7FA" w:val="clear"/>
            <w:tcMar>
              <w:top w:type="dxa" w:w="80"/>
              <w:left w:type="dxa" w:w="120"/>
              <w:bottom w:type="dxa" w:w="80"/>
              <w:right w:type="dxa" w:w="120"/>
            </w:tcMar>
          </w:tcPr>
          <w:p>
            <w:r>
              <w:rPr>
                <w:rFonts w:ascii="Arial" w:cs="Arial" w:eastAsia="Arial" w:hAnsi="Arial"/>
                <w:b w:val="false"/>
                <w:bCs w:val="false"/>
                <w:color w:val="1F2937"/>
                <w:sz w:val="20"/>
                <w:szCs w:val="20"/>
              </w:rPr>
              <w:t xml:space="preserve">~$1,247,000</w:t>
            </w:r>
          </w:p>
        </w:tc>
      </w:tr>
      <w:tr>
        <w:tc>
          <w:tcPr>
            <w:tcW w:type="dxa" w:w="35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$2,500/month</w:t>
            </w:r>
          </w:p>
        </w:tc>
        <w:tc>
          <w:tcPr>
            <w:tcW w:type="dxa" w:w="22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42</w:t>
            </w:r>
          </w:p>
        </w:tc>
        <w:tc>
          <w:tcPr>
            <w:tcW w:type="dxa" w:w="366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~$1,559,000</w:t>
            </w:r>
          </w:p>
        </w:tc>
      </w:tr>
      <w:tr>
        <w:tc>
          <w:tcPr>
            <w:tcW w:type="dxa" w:w="3500"/>
            <w:tcBorders>
              <w:top w:val="single" w:color="E5E7EB" w:sz="6"/>
              <w:left w:val="single" w:color="E5E7EB" w:sz="6"/>
              <w:bottom w:val="single" w:color="E5E7EB" w:sz="6"/>
              <w:right w:val="single" w:color="E5E7EB" w:sz="6"/>
            </w:tcBorders>
            <w:shd w:fill="F4F7FA" w:val="clear"/>
            <w:tcMar>
              <w:top w:type="dxa" w:w="80"/>
              <w:left w:type="dxa" w:w="120"/>
              <w:bottom w:type="dxa" w:w="80"/>
              <w:right w:type="dxa" w:w="120"/>
            </w:tcMar>
          </w:tcPr>
          <w:p>
            <w:r>
              <w:rPr>
                <w:rFonts w:ascii="Arial" w:cs="Arial" w:eastAsia="Arial" w:hAnsi="Arial"/>
                <w:b w:val="false"/>
                <w:bCs w:val="false"/>
                <w:color w:val="1F2937"/>
                <w:sz w:val="20"/>
                <w:szCs w:val="20"/>
              </w:rPr>
              <w:t xml:space="preserve">$1,500/month</w:t>
            </w:r>
          </w:p>
        </w:tc>
        <w:tc>
          <w:tcPr>
            <w:tcW w:type="dxa" w:w="2200"/>
            <w:tcBorders>
              <w:top w:val="single" w:color="E5E7EB" w:sz="6"/>
              <w:left w:val="single" w:color="E5E7EB" w:sz="6"/>
              <w:bottom w:val="single" w:color="E5E7EB" w:sz="6"/>
              <w:right w:val="single" w:color="E5E7EB" w:sz="6"/>
            </w:tcBorders>
            <w:shd w:fill="F4F7FA" w:val="clear"/>
            <w:tcMar>
              <w:top w:type="dxa" w:w="80"/>
              <w:left w:type="dxa" w:w="120"/>
              <w:bottom w:type="dxa" w:w="80"/>
              <w:right w:type="dxa" w:w="120"/>
            </w:tcMar>
          </w:tcPr>
          <w:p>
            <w:r>
              <w:rPr>
                <w:rFonts w:ascii="Arial" w:cs="Arial" w:eastAsia="Arial" w:hAnsi="Arial"/>
                <w:b w:val="false"/>
                <w:bCs w:val="false"/>
                <w:color w:val="1F2937"/>
                <w:sz w:val="20"/>
                <w:szCs w:val="20"/>
              </w:rPr>
              <w:t xml:space="preserve">45</w:t>
            </w:r>
          </w:p>
        </w:tc>
        <w:tc>
          <w:tcPr>
            <w:tcW w:type="dxa" w:w="3660"/>
            <w:tcBorders>
              <w:top w:val="single" w:color="E5E7EB" w:sz="6"/>
              <w:left w:val="single" w:color="E5E7EB" w:sz="6"/>
              <w:bottom w:val="single" w:color="E5E7EB" w:sz="6"/>
              <w:right w:val="single" w:color="E5E7EB" w:sz="6"/>
            </w:tcBorders>
            <w:shd w:fill="F4F7FA" w:val="clear"/>
            <w:tcMar>
              <w:top w:type="dxa" w:w="80"/>
              <w:left w:type="dxa" w:w="120"/>
              <w:bottom w:type="dxa" w:w="80"/>
              <w:right w:type="dxa" w:w="120"/>
            </w:tcMar>
          </w:tcPr>
          <w:p>
            <w:r>
              <w:rPr>
                <w:rFonts w:ascii="Arial" w:cs="Arial" w:eastAsia="Arial" w:hAnsi="Arial"/>
                <w:b w:val="false"/>
                <w:bCs w:val="false"/>
                <w:color w:val="1F2937"/>
                <w:sz w:val="20"/>
                <w:szCs w:val="20"/>
              </w:rPr>
              <w:t xml:space="preserve">~$714,000</w:t>
            </w:r>
          </w:p>
        </w:tc>
      </w:tr>
      <w:tr>
        <w:tc>
          <w:tcPr>
            <w:tcW w:type="dxa" w:w="35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$2,500/month</w:t>
            </w:r>
          </w:p>
        </w:tc>
        <w:tc>
          <w:tcPr>
            <w:tcW w:type="dxa" w:w="22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45</w:t>
            </w:r>
          </w:p>
        </w:tc>
        <w:tc>
          <w:tcPr>
            <w:tcW w:type="dxa" w:w="366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~$1,190,000</w:t>
            </w:r>
          </w:p>
        </w:tc>
      </w:tr>
      <w:tr>
        <w:tc>
          <w:tcPr>
            <w:tcW w:type="dxa" w:w="3500"/>
            <w:tcBorders>
              <w:top w:val="single" w:color="E5E7EB" w:sz="6"/>
              <w:left w:val="single" w:color="E5E7EB" w:sz="6"/>
              <w:bottom w:val="single" w:color="E5E7EB" w:sz="6"/>
              <w:right w:val="single" w:color="E5E7EB" w:sz="6"/>
            </w:tcBorders>
            <w:shd w:fill="F4F7FA" w:val="clear"/>
            <w:tcMar>
              <w:top w:type="dxa" w:w="80"/>
              <w:left w:type="dxa" w:w="120"/>
              <w:bottom w:type="dxa" w:w="80"/>
              <w:right w:type="dxa" w:w="120"/>
            </w:tcMar>
          </w:tcPr>
          <w:p>
            <w:r>
              <w:rPr>
                <w:rFonts w:ascii="Arial" w:cs="Arial" w:eastAsia="Arial" w:hAnsi="Arial"/>
                <w:b w:val="false"/>
                <w:bCs w:val="false"/>
                <w:color w:val="1F2937"/>
                <w:sz w:val="20"/>
                <w:szCs w:val="20"/>
              </w:rPr>
              <w:t xml:space="preserve">$3,000/month</w:t>
            </w:r>
          </w:p>
        </w:tc>
        <w:tc>
          <w:tcPr>
            <w:tcW w:type="dxa" w:w="2200"/>
            <w:tcBorders>
              <w:top w:val="single" w:color="E5E7EB" w:sz="6"/>
              <w:left w:val="single" w:color="E5E7EB" w:sz="6"/>
              <w:bottom w:val="single" w:color="E5E7EB" w:sz="6"/>
              <w:right w:val="single" w:color="E5E7EB" w:sz="6"/>
            </w:tcBorders>
            <w:shd w:fill="F4F7FA" w:val="clear"/>
            <w:tcMar>
              <w:top w:type="dxa" w:w="80"/>
              <w:left w:type="dxa" w:w="120"/>
              <w:bottom w:type="dxa" w:w="80"/>
              <w:right w:type="dxa" w:w="120"/>
            </w:tcMar>
          </w:tcPr>
          <w:p>
            <w:r>
              <w:rPr>
                <w:rFonts w:ascii="Arial" w:cs="Arial" w:eastAsia="Arial" w:hAnsi="Arial"/>
                <w:b w:val="false"/>
                <w:bCs w:val="false"/>
                <w:color w:val="1F2937"/>
                <w:sz w:val="20"/>
                <w:szCs w:val="20"/>
              </w:rPr>
              <w:t xml:space="preserve">45</w:t>
            </w:r>
          </w:p>
        </w:tc>
        <w:tc>
          <w:tcPr>
            <w:tcW w:type="dxa" w:w="3660"/>
            <w:tcBorders>
              <w:top w:val="single" w:color="E5E7EB" w:sz="6"/>
              <w:left w:val="single" w:color="E5E7EB" w:sz="6"/>
              <w:bottom w:val="single" w:color="E5E7EB" w:sz="6"/>
              <w:right w:val="single" w:color="E5E7EB" w:sz="6"/>
            </w:tcBorders>
            <w:shd w:fill="F4F7FA" w:val="clear"/>
            <w:tcMar>
              <w:top w:type="dxa" w:w="80"/>
              <w:left w:type="dxa" w:w="120"/>
              <w:bottom w:type="dxa" w:w="80"/>
              <w:right w:type="dxa" w:w="120"/>
            </w:tcMar>
          </w:tcPr>
          <w:p>
            <w:r>
              <w:rPr>
                <w:rFonts w:ascii="Arial" w:cs="Arial" w:eastAsia="Arial" w:hAnsi="Arial"/>
                <w:b w:val="false"/>
                <w:bCs w:val="false"/>
                <w:color w:val="1F2937"/>
                <w:sz w:val="20"/>
                <w:szCs w:val="20"/>
              </w:rPr>
              <w:t xml:space="preserve">~$1,428,000</w:t>
            </w:r>
          </w:p>
        </w:tc>
      </w:tr>
      <w:tr>
        <w:tc>
          <w:tcPr>
            <w:tcW w:type="dxa" w:w="35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$2,000/month</w:t>
            </w:r>
          </w:p>
        </w:tc>
        <w:tc>
          <w:tcPr>
            <w:tcW w:type="dxa" w:w="22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50</w:t>
            </w:r>
          </w:p>
        </w:tc>
        <w:tc>
          <w:tcPr>
            <w:tcW w:type="dxa" w:w="366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~$694,000</w:t>
            </w:r>
          </w:p>
        </w:tc>
      </w:tr>
      <w:tr>
        <w:tc>
          <w:tcPr>
            <w:tcW w:type="dxa" w:w="3500"/>
            <w:tcBorders>
              <w:top w:val="single" w:color="E5E7EB" w:sz="6"/>
              <w:left w:val="single" w:color="E5E7EB" w:sz="6"/>
              <w:bottom w:val="single" w:color="E5E7EB" w:sz="6"/>
              <w:right w:val="single" w:color="E5E7EB" w:sz="6"/>
            </w:tcBorders>
            <w:shd w:fill="F4F7FA" w:val="clear"/>
            <w:tcMar>
              <w:top w:type="dxa" w:w="80"/>
              <w:left w:type="dxa" w:w="120"/>
              <w:bottom w:type="dxa" w:w="80"/>
              <w:right w:type="dxa" w:w="120"/>
            </w:tcMar>
          </w:tcPr>
          <w:p>
            <w:r>
              <w:rPr>
                <w:rFonts w:ascii="Arial" w:cs="Arial" w:eastAsia="Arial" w:hAnsi="Arial"/>
                <w:b w:val="false"/>
                <w:bCs w:val="false"/>
                <w:color w:val="1F2937"/>
                <w:sz w:val="20"/>
                <w:szCs w:val="20"/>
              </w:rPr>
              <w:t xml:space="preserve">$3,500/month</w:t>
            </w:r>
          </w:p>
        </w:tc>
        <w:tc>
          <w:tcPr>
            <w:tcW w:type="dxa" w:w="2200"/>
            <w:tcBorders>
              <w:top w:val="single" w:color="E5E7EB" w:sz="6"/>
              <w:left w:val="single" w:color="E5E7EB" w:sz="6"/>
              <w:bottom w:val="single" w:color="E5E7EB" w:sz="6"/>
              <w:right w:val="single" w:color="E5E7EB" w:sz="6"/>
            </w:tcBorders>
            <w:shd w:fill="F4F7FA" w:val="clear"/>
            <w:tcMar>
              <w:top w:type="dxa" w:w="80"/>
              <w:left w:type="dxa" w:w="120"/>
              <w:bottom w:type="dxa" w:w="80"/>
              <w:right w:type="dxa" w:w="120"/>
            </w:tcMar>
          </w:tcPr>
          <w:p>
            <w:r>
              <w:rPr>
                <w:rFonts w:ascii="Arial" w:cs="Arial" w:eastAsia="Arial" w:hAnsi="Arial"/>
                <w:b w:val="false"/>
                <w:bCs w:val="false"/>
                <w:color w:val="1F2937"/>
                <w:sz w:val="20"/>
                <w:szCs w:val="20"/>
              </w:rPr>
              <w:t xml:space="preserve">50</w:t>
            </w:r>
          </w:p>
        </w:tc>
        <w:tc>
          <w:tcPr>
            <w:tcW w:type="dxa" w:w="3660"/>
            <w:tcBorders>
              <w:top w:val="single" w:color="E5E7EB" w:sz="6"/>
              <w:left w:val="single" w:color="E5E7EB" w:sz="6"/>
              <w:bottom w:val="single" w:color="E5E7EB" w:sz="6"/>
              <w:right w:val="single" w:color="E5E7EB" w:sz="6"/>
            </w:tcBorders>
            <w:shd w:fill="F4F7FA" w:val="clear"/>
            <w:tcMar>
              <w:top w:type="dxa" w:w="80"/>
              <w:left w:type="dxa" w:w="120"/>
              <w:bottom w:type="dxa" w:w="80"/>
              <w:right w:type="dxa" w:w="120"/>
            </w:tcMar>
          </w:tcPr>
          <w:p>
            <w:r>
              <w:rPr>
                <w:rFonts w:ascii="Arial" w:cs="Arial" w:eastAsia="Arial" w:hAnsi="Arial"/>
                <w:b w:val="false"/>
                <w:bCs w:val="false"/>
                <w:color w:val="1F2937"/>
                <w:sz w:val="20"/>
                <w:szCs w:val="20"/>
              </w:rPr>
              <w:t xml:space="preserve">~$1,215,000</w:t>
            </w:r>
          </w:p>
        </w:tc>
      </w:tr>
      <w:tr>
        <w:tc>
          <w:tcPr>
            <w:tcW w:type="dxa" w:w="35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$4,500/month</w:t>
            </w:r>
          </w:p>
        </w:tc>
        <w:tc>
          <w:tcPr>
            <w:tcW w:type="dxa" w:w="22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50</w:t>
            </w:r>
          </w:p>
        </w:tc>
        <w:tc>
          <w:tcPr>
            <w:tcW w:type="dxa" w:w="366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~$1,562,000</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6"/>
              <w:left w:val="single" w:color="1A7A4A" w:sz="6"/>
              <w:bottom w:val="single" w:color="1A7A4A" w:sz="6"/>
              <w:right w:val="single" w:color="1A7A4A" w:sz="6"/>
            </w:tcBorders>
            <w:shd w:fill="F0FFF4" w:val="clear"/>
            <w:tcMar>
              <w:top w:type="dxa" w:w="160"/>
              <w:left w:type="dxa" w:w="240"/>
              <w:bottom w:type="dxa" w:w="160"/>
              <w:right w:type="dxa" w:w="240"/>
            </w:tcMar>
          </w:tcPr>
          <w:p>
            <w:pPr>
              <w:spacing w:before="50" w:after="50"/>
              <w:jc w:val="center"/>
            </w:pPr>
            <w:r>
              <w:rPr>
                <w:rFonts w:ascii="Arial" w:cs="Arial" w:eastAsia="Arial" w:hAnsi="Arial"/>
                <w:b/>
                <w:bCs/>
                <w:color w:val="0D1B2A"/>
                <w:sz w:val="22"/>
                <w:szCs w:val="22"/>
              </w:rPr>
              <w:t xml:space="preserve">Seven figures is not a fantasy number. It's a math problem.</w:t>
            </w:r>
          </w:p>
          <w:p>
            <w:pPr>
              <w:spacing w:before="50" w:after="50"/>
              <w:jc w:val="center"/>
            </w:pPr>
            <w:r>
              <w:rPr>
                <w:rFonts w:ascii="Arial" w:cs="Arial" w:eastAsia="Arial" w:hAnsi="Arial"/>
                <w:b w:val="false"/>
                <w:bCs w:val="false"/>
                <w:color w:val="0D1B2A"/>
                <w:sz w:val="22"/>
                <w:szCs w:val="22"/>
              </w:rPr>
              <w:t xml:space="preserve">The question is never "is it possible?" The question is "what's your number, and what do you need to contribute monthly to hit it?"</w:t>
            </w:r>
          </w:p>
        </w:tc>
      </w:tr>
    </w:tbl>
    <w:p>
      <w:r>
        <w:br w:type="page"/>
      </w:r>
    </w:p>
    <w:p>
      <w:pPr>
        <w:pStyle w:val="Heading1"/>
        <w:spacing w:before="240" w:after="120"/>
      </w:pPr>
      <w:r>
        <w:rPr>
          <w:rFonts w:ascii="Arial" w:cs="Arial" w:eastAsia="Arial" w:hAnsi="Arial"/>
          <w:b/>
          <w:bCs/>
          <w:color w:val="0D1B2A"/>
          <w:sz w:val="36"/>
          <w:szCs w:val="36"/>
        </w:rPr>
        <w:t xml:space="preserve">Your Secret Weapon: The IRS Catch-Up Rules</w:t>
      </w:r>
    </w:p>
    <w:p>
      <w:pPr>
        <w:pBdr>
          <w:bottom w:val="single" w:color="1B7F79" w:sz="8" w:space="1"/>
        </w:pBdr>
        <w:spacing w:before="120" w:after="120"/>
      </w:pPr>
    </w:p>
    <w:p>
      <w:pPr>
        <w:spacing w:before="60" w:after="60"/>
        <w:jc w:val="both"/>
      </w:pPr>
      <w:r>
        <w:rPr>
          <w:rFonts w:ascii="Arial" w:cs="Arial" w:eastAsia="Arial" w:hAnsi="Arial"/>
          <w:color w:val="1F2937"/>
          <w:sz w:val="22"/>
          <w:szCs w:val="22"/>
        </w:rPr>
        <w:t xml:space="preserve">Most people don't know this: the IRS gives people 50 and older extra contribution room specifically because they need to catch up. This is not a loophole — it's written into the tax code for exactly your situation.</w:t>
      </w:r>
    </w:p>
    <w:p>
      <w:pPr>
        <w:spacing w:before="60" w:after="0"/>
      </w:pPr>
    </w:p>
    <w:p>
      <w:pPr>
        <w:spacing w:before="120" w:after="60"/>
      </w:pPr>
      <w:r>
        <w:rPr>
          <w:rFonts w:ascii="Arial" w:cs="Arial" w:eastAsia="Arial" w:hAnsi="Arial"/>
          <w:b/>
          <w:bCs/>
          <w:color w:val="0D1B2A"/>
          <w:sz w:val="24"/>
          <w:szCs w:val="24"/>
        </w:rPr>
        <w:t xml:space="preserve">2024 Contribution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c>
          <w:tcPr>
            <w:tcW w:type="dxa" w:w="4200"/>
            <w:tcBorders>
              <w:top w:val="single" w:color="E5E7EB" w:sz="6"/>
              <w:left w:val="single" w:color="E5E7EB" w:sz="6"/>
              <w:bottom w:val="single" w:color="E5E7EB" w:sz="6"/>
              <w:right w:val="single" w:color="E5E7EB" w:sz="6"/>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Account</w:t>
            </w:r>
          </w:p>
        </w:tc>
        <w:tc>
          <w:tcPr>
            <w:tcW w:type="dxa" w:w="2400"/>
            <w:tcBorders>
              <w:top w:val="single" w:color="E5E7EB" w:sz="6"/>
              <w:left w:val="single" w:color="E5E7EB" w:sz="6"/>
              <w:bottom w:val="single" w:color="E5E7EB" w:sz="6"/>
              <w:right w:val="single" w:color="E5E7EB" w:sz="6"/>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Under 50</w:t>
            </w:r>
          </w:p>
        </w:tc>
        <w:tc>
          <w:tcPr>
            <w:tcW w:type="dxa" w:w="2760"/>
            <w:tcBorders>
              <w:top w:val="single" w:color="E5E7EB" w:sz="6"/>
              <w:left w:val="single" w:color="E5E7EB" w:sz="6"/>
              <w:bottom w:val="single" w:color="E5E7EB" w:sz="6"/>
              <w:right w:val="single" w:color="E5E7EB" w:sz="6"/>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Age 50+ (Catch-Up)</w:t>
            </w:r>
          </w:p>
        </w:tc>
      </w:tr>
      <w:tr>
        <w:tc>
          <w:tcPr>
            <w:tcW w:type="dxa" w:w="42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401(k) / 403(b)</w:t>
            </w:r>
          </w:p>
        </w:tc>
        <w:tc>
          <w:tcPr>
            <w:tcW w:type="dxa" w:w="24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$23,000</w:t>
            </w:r>
          </w:p>
        </w:tc>
        <w:tc>
          <w:tcPr>
            <w:tcW w:type="dxa" w:w="276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$30,500</w:t>
            </w:r>
          </w:p>
        </w:tc>
      </w:tr>
      <w:tr>
        <w:tc>
          <w:tcPr>
            <w:tcW w:type="dxa" w:w="4200"/>
            <w:tcBorders>
              <w:top w:val="single" w:color="E5E7EB" w:sz="6"/>
              <w:left w:val="single" w:color="E5E7EB" w:sz="6"/>
              <w:bottom w:val="single" w:color="E5E7EB" w:sz="6"/>
              <w:right w:val="single" w:color="E5E7EB" w:sz="6"/>
            </w:tcBorders>
            <w:shd w:fill="F4F7FA" w:val="clear"/>
            <w:tcMar>
              <w:top w:type="dxa" w:w="80"/>
              <w:left w:type="dxa" w:w="120"/>
              <w:bottom w:type="dxa" w:w="80"/>
              <w:right w:type="dxa" w:w="120"/>
            </w:tcMar>
          </w:tcPr>
          <w:p>
            <w:r>
              <w:rPr>
                <w:rFonts w:ascii="Arial" w:cs="Arial" w:eastAsia="Arial" w:hAnsi="Arial"/>
                <w:b w:val="false"/>
                <w:bCs w:val="false"/>
                <w:color w:val="1F2937"/>
                <w:sz w:val="20"/>
                <w:szCs w:val="20"/>
              </w:rPr>
              <w:t xml:space="preserve">Traditional or Roth IRA</w:t>
            </w:r>
          </w:p>
        </w:tc>
        <w:tc>
          <w:tcPr>
            <w:tcW w:type="dxa" w:w="2400"/>
            <w:tcBorders>
              <w:top w:val="single" w:color="E5E7EB" w:sz="6"/>
              <w:left w:val="single" w:color="E5E7EB" w:sz="6"/>
              <w:bottom w:val="single" w:color="E5E7EB" w:sz="6"/>
              <w:right w:val="single" w:color="E5E7EB" w:sz="6"/>
            </w:tcBorders>
            <w:shd w:fill="F4F7FA" w:val="clear"/>
            <w:tcMar>
              <w:top w:type="dxa" w:w="80"/>
              <w:left w:type="dxa" w:w="120"/>
              <w:bottom w:type="dxa" w:w="80"/>
              <w:right w:type="dxa" w:w="120"/>
            </w:tcMar>
          </w:tcPr>
          <w:p>
            <w:r>
              <w:rPr>
                <w:rFonts w:ascii="Arial" w:cs="Arial" w:eastAsia="Arial" w:hAnsi="Arial"/>
                <w:b w:val="false"/>
                <w:bCs w:val="false"/>
                <w:color w:val="1F2937"/>
                <w:sz w:val="20"/>
                <w:szCs w:val="20"/>
              </w:rPr>
              <w:t xml:space="preserve">$7,000</w:t>
            </w:r>
          </w:p>
        </w:tc>
        <w:tc>
          <w:tcPr>
            <w:tcW w:type="dxa" w:w="2760"/>
            <w:tcBorders>
              <w:top w:val="single" w:color="E5E7EB" w:sz="6"/>
              <w:left w:val="single" w:color="E5E7EB" w:sz="6"/>
              <w:bottom w:val="single" w:color="E5E7EB" w:sz="6"/>
              <w:right w:val="single" w:color="E5E7EB" w:sz="6"/>
            </w:tcBorders>
            <w:shd w:fill="F4F7FA" w:val="clear"/>
            <w:tcMar>
              <w:top w:type="dxa" w:w="80"/>
              <w:left w:type="dxa" w:w="120"/>
              <w:bottom w:type="dxa" w:w="80"/>
              <w:right w:type="dxa" w:w="120"/>
            </w:tcMar>
          </w:tcPr>
          <w:p>
            <w:r>
              <w:rPr>
                <w:rFonts w:ascii="Arial" w:cs="Arial" w:eastAsia="Arial" w:hAnsi="Arial"/>
                <w:b w:val="false"/>
                <w:bCs w:val="false"/>
                <w:color w:val="1F2937"/>
                <w:sz w:val="20"/>
                <w:szCs w:val="20"/>
              </w:rPr>
              <w:t xml:space="preserve">$8,000</w:t>
            </w:r>
          </w:p>
        </w:tc>
      </w:tr>
      <w:tr>
        <w:tc>
          <w:tcPr>
            <w:tcW w:type="dxa" w:w="42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HSA (individual)</w:t>
            </w:r>
          </w:p>
        </w:tc>
        <w:tc>
          <w:tcPr>
            <w:tcW w:type="dxa" w:w="24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$4,150</w:t>
            </w:r>
          </w:p>
        </w:tc>
        <w:tc>
          <w:tcPr>
            <w:tcW w:type="dxa" w:w="276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$5,150</w:t>
            </w:r>
          </w:p>
        </w:tc>
      </w:tr>
      <w:tr>
        <w:tc>
          <w:tcPr>
            <w:tcW w:type="dxa" w:w="4200"/>
            <w:tcBorders>
              <w:top w:val="single" w:color="E5E7EB" w:sz="6"/>
              <w:left w:val="single" w:color="E5E7EB" w:sz="6"/>
              <w:bottom w:val="single" w:color="E5E7EB" w:sz="6"/>
              <w:right w:val="single" w:color="E5E7EB" w:sz="6"/>
            </w:tcBorders>
            <w:shd w:fill="F4F7FA" w:val="clear"/>
            <w:tcMar>
              <w:top w:type="dxa" w:w="80"/>
              <w:left w:type="dxa" w:w="120"/>
              <w:bottom w:type="dxa" w:w="80"/>
              <w:right w:type="dxa" w:w="120"/>
            </w:tcMar>
          </w:tcPr>
          <w:p>
            <w:r>
              <w:rPr>
                <w:rFonts w:ascii="Arial" w:cs="Arial" w:eastAsia="Arial" w:hAnsi="Arial"/>
                <w:b w:val="false"/>
                <w:bCs w:val="false"/>
                <w:color w:val="1F2937"/>
                <w:sz w:val="20"/>
                <w:szCs w:val="20"/>
              </w:rPr>
              <w:t xml:space="preserve">HSA (family)</w:t>
            </w:r>
          </w:p>
        </w:tc>
        <w:tc>
          <w:tcPr>
            <w:tcW w:type="dxa" w:w="2400"/>
            <w:tcBorders>
              <w:top w:val="single" w:color="E5E7EB" w:sz="6"/>
              <w:left w:val="single" w:color="E5E7EB" w:sz="6"/>
              <w:bottom w:val="single" w:color="E5E7EB" w:sz="6"/>
              <w:right w:val="single" w:color="E5E7EB" w:sz="6"/>
            </w:tcBorders>
            <w:shd w:fill="F4F7FA" w:val="clear"/>
            <w:tcMar>
              <w:top w:type="dxa" w:w="80"/>
              <w:left w:type="dxa" w:w="120"/>
              <w:bottom w:type="dxa" w:w="80"/>
              <w:right w:type="dxa" w:w="120"/>
            </w:tcMar>
          </w:tcPr>
          <w:p>
            <w:r>
              <w:rPr>
                <w:rFonts w:ascii="Arial" w:cs="Arial" w:eastAsia="Arial" w:hAnsi="Arial"/>
                <w:b w:val="false"/>
                <w:bCs w:val="false"/>
                <w:color w:val="1F2937"/>
                <w:sz w:val="20"/>
                <w:szCs w:val="20"/>
              </w:rPr>
              <w:t xml:space="preserve">$8,300</w:t>
            </w:r>
          </w:p>
        </w:tc>
        <w:tc>
          <w:tcPr>
            <w:tcW w:type="dxa" w:w="2760"/>
            <w:tcBorders>
              <w:top w:val="single" w:color="E5E7EB" w:sz="6"/>
              <w:left w:val="single" w:color="E5E7EB" w:sz="6"/>
              <w:bottom w:val="single" w:color="E5E7EB" w:sz="6"/>
              <w:right w:val="single" w:color="E5E7EB" w:sz="6"/>
            </w:tcBorders>
            <w:shd w:fill="F4F7FA" w:val="clear"/>
            <w:tcMar>
              <w:top w:type="dxa" w:w="80"/>
              <w:left w:type="dxa" w:w="120"/>
              <w:bottom w:type="dxa" w:w="80"/>
              <w:right w:type="dxa" w:w="120"/>
            </w:tcMar>
          </w:tcPr>
          <w:p>
            <w:r>
              <w:rPr>
                <w:rFonts w:ascii="Arial" w:cs="Arial" w:eastAsia="Arial" w:hAnsi="Arial"/>
                <w:b w:val="false"/>
                <w:bCs w:val="false"/>
                <w:color w:val="1F2937"/>
                <w:sz w:val="20"/>
                <w:szCs w:val="20"/>
              </w:rPr>
              <w:t xml:space="preserve">$9,300</w:t>
            </w:r>
          </w:p>
        </w:tc>
      </w:tr>
      <w:tr>
        <w:tc>
          <w:tcPr>
            <w:tcW w:type="dxa" w:w="42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SIMPLE IRA</w:t>
            </w:r>
          </w:p>
        </w:tc>
        <w:tc>
          <w:tcPr>
            <w:tcW w:type="dxa" w:w="24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$16,000</w:t>
            </w:r>
          </w:p>
        </w:tc>
        <w:tc>
          <w:tcPr>
            <w:tcW w:type="dxa" w:w="276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$19,500</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6"/>
              <w:left w:val="single" w:color="F5A623" w:sz="6"/>
              <w:bottom w:val="single" w:color="F5A623" w:sz="6"/>
              <w:right w:val="single" w:color="F5A623" w:sz="6"/>
            </w:tcBorders>
            <w:shd w:fill="FFF8E7" w:val="clear"/>
            <w:tcMar>
              <w:top w:type="dxa" w:w="160"/>
              <w:left w:type="dxa" w:w="240"/>
              <w:bottom w:type="dxa" w:w="160"/>
              <w:right w:type="dxa" w:w="240"/>
            </w:tcMar>
          </w:tcPr>
          <w:p>
            <w:pPr>
              <w:spacing w:before="50" w:after="50"/>
              <w:jc w:val="center"/>
            </w:pPr>
            <w:r>
              <w:rPr>
                <w:rFonts w:ascii="Arial" w:cs="Arial" w:eastAsia="Arial" w:hAnsi="Arial"/>
                <w:b/>
                <w:bCs/>
                <w:color w:val="0D1B2A"/>
                <w:sz w:val="24"/>
                <w:szCs w:val="24"/>
              </w:rPr>
              <w:t xml:space="preserve">At 50, you can legally shelter up to $38,500/year in tax-advantaged accounts.</w:t>
            </w:r>
          </w:p>
          <w:p>
            <w:pPr>
              <w:spacing w:before="50" w:after="50"/>
              <w:jc w:val="center"/>
            </w:pPr>
            <w:r>
              <w:rPr>
                <w:rFonts w:ascii="Arial" w:cs="Arial" w:eastAsia="Arial" w:hAnsi="Arial"/>
                <w:b w:val="false"/>
                <w:bCs w:val="false"/>
                <w:color w:val="0D1B2A"/>
                <w:sz w:val="22"/>
                <w:szCs w:val="22"/>
              </w:rPr>
              <w:t xml:space="preserve">That's $3,208/month — every dollar either pre-tax (reducing your taxable income now) or after-tax Roth (growing tax-free forever).</w:t>
            </w:r>
          </w:p>
          <w:p>
            <w:pPr>
              <w:spacing w:before="50" w:after="50"/>
              <w:jc w:val="center"/>
            </w:pPr>
            <w:r>
              <w:rPr>
                <w:rFonts w:ascii="Arial" w:cs="Arial" w:eastAsia="Arial" w:hAnsi="Arial"/>
                <w:b/>
                <w:bCs/>
                <w:color w:val="0D1B2A"/>
                <w:sz w:val="22"/>
                <w:szCs w:val="22"/>
              </w:rPr>
              <w:t xml:space="preserve">The tax code built a catch-up lane. You need to get in it.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B7F79" w:val="clear"/>
            <w:tcMar>
              <w:top w:type="dxa" w:w="140"/>
              <w:left w:type="dxa" w:w="160"/>
              <w:bottom w:type="dxa" w:w="140"/>
              <w:right w:type="dxa" w:w="120"/>
            </w:tcMar>
            <w:vAlign w:val="center"/>
          </w:tcPr>
          <w:p>
            <w:pPr>
              <w:jc w:val="center"/>
            </w:pPr>
            <w:r>
              <w:rPr>
                <w:rFonts w:ascii="Arial" w:cs="Arial" w:eastAsia="Arial" w:hAnsi="Arial"/>
                <w:b/>
                <w:bCs/>
                <w:color w:val="FFFFFF"/>
                <w:sz w:val="20"/>
                <w:szCs w:val="20"/>
              </w:rPr>
              <w:t xml:space="preserve">PHASE 1</w:t>
            </w:r>
          </w:p>
        </w:tc>
        <w:tc>
          <w:tcPr>
            <w:tcW w:type="dxa" w:w="7760"/>
            <w:tcBorders>
              <w:top w:val="none" w:color="FFFFFF" w:sz="0"/>
              <w:left w:val="none" w:color="FFFFFF" w:sz="0"/>
              <w:bottom w:val="none" w:color="FFFFFF" w:sz="0"/>
              <w:right w:val="none" w:color="FFFFFF" w:sz="0"/>
            </w:tcBorders>
            <w:shd w:fill="1B7F79" w:val="clear"/>
            <w:tcMar>
              <w:top w:type="dxa" w:w="120"/>
              <w:left w:type="dxa" w:w="180"/>
              <w:bottom w:type="dxa" w:w="120"/>
              <w:right w:type="dxa" w:w="160"/>
            </w:tcMar>
          </w:tcPr>
          <w:p>
            <w:r>
              <w:rPr>
                <w:rFonts w:ascii="Arial" w:cs="Arial" w:eastAsia="Arial" w:hAnsi="Arial"/>
                <w:b/>
                <w:bCs/>
                <w:color w:val="FFFFFF"/>
                <w:sz w:val="24"/>
                <w:szCs w:val="24"/>
              </w:rPr>
              <w:t xml:space="preserve">Foundation</w:t>
            </w:r>
          </w:p>
          <w:p>
            <w:r>
              <w:rPr>
                <w:rFonts w:ascii="Arial" w:cs="Arial" w:eastAsia="Arial" w:hAnsi="Arial"/>
                <w:color w:val="FFFFCC"/>
                <w:sz w:val="19"/>
                <w:szCs w:val="19"/>
              </w:rPr>
              <w:t xml:space="preserve">Years 1–3 — Eliminate Drag, Open the Right Accounts</w:t>
            </w:r>
          </w:p>
        </w:tc>
      </w:tr>
    </w:tbl>
    <w:p>
      <w:pPr>
        <w:spacing w:before="100" w:after="0"/>
      </w:pPr>
    </w:p>
    <w:p>
      <w:pPr>
        <w:spacing w:before="60" w:after="60"/>
        <w:jc w:val="both"/>
      </w:pPr>
      <w:r>
        <w:rPr>
          <w:rFonts w:ascii="Arial" w:cs="Arial" w:eastAsia="Arial" w:hAnsi="Arial"/>
          <w:color w:val="1F2937"/>
          <w:sz w:val="22"/>
          <w:szCs w:val="22"/>
        </w:rPr>
        <w:t xml:space="preserve">This phase is about clearing friction and getting the right financial infrastructure in place. You're not trying to build wealth yet — you're removing everything that slows it down.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7F79"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w:t>
            </w:r>
          </w:p>
        </w:tc>
        <w:tc>
          <w:tcPr>
            <w:tcW w:type="dxa" w:w="8660"/>
            <w:tcBorders>
              <w:top w:val="single" w:color="E5E7EB" w:sz="6"/>
              <w:left w:val="single" w:color="E5E7EB" w:sz="6"/>
              <w:bottom w:val="single" w:color="E5E7EB" w:sz="6"/>
              <w:right w:val="single" w:color="E5E7EB" w:sz="6"/>
            </w:tcBorders>
            <w:shd w:fill="F4F7FA" w:val="clear"/>
            <w:tcMar>
              <w:top w:type="dxa" w:w="100"/>
              <w:left w:type="dxa" w:w="160"/>
              <w:bottom w:type="dxa" w:w="100"/>
              <w:right w:type="dxa" w:w="160"/>
            </w:tcMar>
          </w:tcPr>
          <w:p>
            <w:r>
              <w:rPr>
                <w:rFonts w:ascii="Arial" w:cs="Arial" w:eastAsia="Arial" w:hAnsi="Arial"/>
                <w:b/>
                <w:bCs/>
                <w:color w:val="0D1B2A"/>
                <w:sz w:val="22"/>
                <w:szCs w:val="22"/>
              </w:rPr>
              <w:t xml:space="preserve">Eliminate High-Interest Debt</w:t>
            </w:r>
          </w:p>
          <w:p>
            <w:pPr>
              <w:spacing w:before="40" w:after="0"/>
            </w:pPr>
            <w:r>
              <w:rPr>
                <w:rFonts w:ascii="Arial" w:cs="Arial" w:eastAsia="Arial" w:hAnsi="Arial"/>
                <w:color w:val="1F2937"/>
                <w:sz w:val="20"/>
                <w:szCs w:val="20"/>
              </w:rPr>
              <w:t xml:space="preserve">Any debt above 7–8% is competing directly with your investment returns. A 22% credit card balance is a guaranteed -22% on that money. Pay it off before aggressively investing. Sequence matters.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7F79"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w:t>
            </w:r>
          </w:p>
        </w:tc>
        <w:tc>
          <w:tcPr>
            <w:tcW w:type="dxa" w:w="8660"/>
            <w:tcBorders>
              <w:top w:val="single" w:color="E5E7EB" w:sz="6"/>
              <w:left w:val="single" w:color="E5E7EB" w:sz="6"/>
              <w:bottom w:val="single" w:color="E5E7EB" w:sz="6"/>
              <w:right w:val="single" w:color="E5E7EB" w:sz="6"/>
            </w:tcBorders>
            <w:shd w:fill="F4F7FA" w:val="clear"/>
            <w:tcMar>
              <w:top w:type="dxa" w:w="100"/>
              <w:left w:type="dxa" w:w="160"/>
              <w:bottom w:type="dxa" w:w="100"/>
              <w:right w:type="dxa" w:w="160"/>
            </w:tcMar>
          </w:tcPr>
          <w:p>
            <w:r>
              <w:rPr>
                <w:rFonts w:ascii="Arial" w:cs="Arial" w:eastAsia="Arial" w:hAnsi="Arial"/>
                <w:b/>
                <w:bCs/>
                <w:color w:val="0D1B2A"/>
                <w:sz w:val="22"/>
                <w:szCs w:val="22"/>
              </w:rPr>
              <w:t xml:space="preserve">Build a 3-Month Cash Reserve</w:t>
            </w:r>
          </w:p>
          <w:p>
            <w:pPr>
              <w:spacing w:before="40" w:after="0"/>
            </w:pPr>
            <w:r>
              <w:rPr>
                <w:rFonts w:ascii="Arial" w:cs="Arial" w:eastAsia="Arial" w:hAnsi="Arial"/>
                <w:color w:val="1F2937"/>
                <w:sz w:val="20"/>
                <w:szCs w:val="20"/>
              </w:rPr>
              <w:t xml:space="preserve">Not for 'emergencies' — for investment insulation. A cash buffer means you never have to sell investments at the wrong time. Without it, a job loss or unexpected expense forces you to liquidate during a downturn. That's sequence-of-returns risk in action, and it destroys retirement portfolios.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7F79"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3</w:t>
            </w:r>
          </w:p>
        </w:tc>
        <w:tc>
          <w:tcPr>
            <w:tcW w:type="dxa" w:w="8660"/>
            <w:tcBorders>
              <w:top w:val="single" w:color="E5E7EB" w:sz="6"/>
              <w:left w:val="single" w:color="E5E7EB" w:sz="6"/>
              <w:bottom w:val="single" w:color="E5E7EB" w:sz="6"/>
              <w:right w:val="single" w:color="E5E7EB" w:sz="6"/>
            </w:tcBorders>
            <w:shd w:fill="F4F7FA" w:val="clear"/>
            <w:tcMar>
              <w:top w:type="dxa" w:w="100"/>
              <w:left w:type="dxa" w:w="160"/>
              <w:bottom w:type="dxa" w:w="100"/>
              <w:right w:type="dxa" w:w="160"/>
            </w:tcMar>
          </w:tcPr>
          <w:p>
            <w:r>
              <w:rPr>
                <w:rFonts w:ascii="Arial" w:cs="Arial" w:eastAsia="Arial" w:hAnsi="Arial"/>
                <w:b/>
                <w:bCs/>
                <w:color w:val="0D1B2A"/>
                <w:sz w:val="22"/>
                <w:szCs w:val="22"/>
              </w:rPr>
              <w:t xml:space="preserve">Open and Fund the Right Accounts</w:t>
            </w:r>
          </w:p>
          <w:p>
            <w:pPr>
              <w:spacing w:before="40" w:after="0"/>
            </w:pPr>
            <w:r>
              <w:rPr>
                <w:rFonts w:ascii="Arial" w:cs="Arial" w:eastAsia="Arial" w:hAnsi="Arial"/>
                <w:color w:val="1F2937"/>
                <w:sz w:val="20"/>
                <w:szCs w:val="20"/>
              </w:rPr>
              <w:t xml:space="preserve">Priority: (1) 401(k) up to employer match — 50–100% instant return, never leave it. (2) HSA to maximum if on HDHP — triple tax advantage. (3) Roth or Traditional IRA to maximum. (4) 401(k) to full limit. (5) Taxable brokerage after all tax-advantaged accounts are maxed.</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7F79"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4</w:t>
            </w:r>
          </w:p>
        </w:tc>
        <w:tc>
          <w:tcPr>
            <w:tcW w:type="dxa" w:w="8660"/>
            <w:tcBorders>
              <w:top w:val="single" w:color="E5E7EB" w:sz="6"/>
              <w:left w:val="single" w:color="E5E7EB" w:sz="6"/>
              <w:bottom w:val="single" w:color="E5E7EB" w:sz="6"/>
              <w:right w:val="single" w:color="E5E7EB" w:sz="6"/>
            </w:tcBorders>
            <w:shd w:fill="F4F7FA" w:val="clear"/>
            <w:tcMar>
              <w:top w:type="dxa" w:w="100"/>
              <w:left w:type="dxa" w:w="160"/>
              <w:bottom w:type="dxa" w:w="100"/>
              <w:right w:type="dxa" w:w="160"/>
            </w:tcMar>
          </w:tcPr>
          <w:p>
            <w:r>
              <w:rPr>
                <w:rFonts w:ascii="Arial" w:cs="Arial" w:eastAsia="Arial" w:hAnsi="Arial"/>
                <w:b/>
                <w:bCs/>
                <w:color w:val="0D1B2A"/>
                <w:sz w:val="22"/>
                <w:szCs w:val="22"/>
              </w:rPr>
              <w:t xml:space="preserve">Set Contributions to Auto-Increase</w:t>
            </w:r>
          </w:p>
          <w:p>
            <w:pPr>
              <w:spacing w:before="40" w:after="0"/>
            </w:pPr>
            <w:r>
              <w:rPr>
                <w:rFonts w:ascii="Arial" w:cs="Arial" w:eastAsia="Arial" w:hAnsi="Arial"/>
                <w:color w:val="1F2937"/>
                <w:sz w:val="20"/>
                <w:szCs w:val="20"/>
              </w:rPr>
              <w:t xml:space="preserve">Most 401(k) plans allow you to set an annual automatic increase (1–2% per year). Turn it on. You'll never miss the money and your contribution rate climbs without requiring willpower.</w:t>
            </w:r>
          </w:p>
        </w:tc>
      </w:tr>
    </w:tbl>
    <w:p>
      <w:pPr>
        <w:spacing w:before="60" w:after="0"/>
      </w:pP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F79" w:sz="6"/>
              <w:left w:val="single" w:color="1B7F79" w:sz="6"/>
              <w:bottom w:val="single" w:color="1B7F79" w:sz="6"/>
              <w:right w:val="single" w:color="1B7F79" w:sz="6"/>
            </w:tcBorders>
            <w:shd w:fill="F4F7FA" w:val="clear"/>
            <w:tcMar>
              <w:top w:type="dxa" w:w="160"/>
              <w:left w:type="dxa" w:w="240"/>
              <w:bottom w:type="dxa" w:w="160"/>
              <w:right w:type="dxa" w:w="240"/>
            </w:tcMar>
          </w:tcPr>
          <w:p>
            <w:pPr>
              <w:spacing w:before="50" w:after="50"/>
              <w:jc w:val="left"/>
            </w:pPr>
            <w:r>
              <w:rPr>
                <w:rFonts w:ascii="Arial" w:cs="Arial" w:eastAsia="Arial" w:hAnsi="Arial"/>
                <w:b/>
                <w:bCs/>
                <w:color w:val="0D1B2A"/>
                <w:sz w:val="22"/>
                <w:szCs w:val="22"/>
              </w:rPr>
              <w:t xml:space="preserve">Phase 1 Goal:</w:t>
            </w:r>
          </w:p>
          <w:p>
            <w:pPr>
              <w:spacing w:before="50" w:after="50"/>
              <w:jc w:val="left"/>
            </w:pPr>
            <w:r>
              <w:rPr>
                <w:rFonts w:ascii="Arial" w:cs="Arial" w:eastAsia="Arial" w:hAnsi="Arial"/>
                <w:b w:val="false"/>
                <w:bCs w:val="false"/>
                <w:color w:val="0D1B2A"/>
                <w:sz w:val="22"/>
                <w:szCs w:val="22"/>
              </w:rPr>
              <w:t xml:space="preserve">All high-interest debt gone, cash reserve funded, all accounts opened, contributions automated at minimum employer-match level.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6D28D9" w:val="clear"/>
            <w:tcMar>
              <w:top w:type="dxa" w:w="140"/>
              <w:left w:type="dxa" w:w="160"/>
              <w:bottom w:type="dxa" w:w="140"/>
              <w:right w:type="dxa" w:w="120"/>
            </w:tcMar>
            <w:vAlign w:val="center"/>
          </w:tcPr>
          <w:p>
            <w:pPr>
              <w:jc w:val="center"/>
            </w:pPr>
            <w:r>
              <w:rPr>
                <w:rFonts w:ascii="Arial" w:cs="Arial" w:eastAsia="Arial" w:hAnsi="Arial"/>
                <w:b/>
                <w:bCs/>
                <w:color w:val="FFFFFF"/>
                <w:sz w:val="20"/>
                <w:szCs w:val="20"/>
              </w:rPr>
              <w:t xml:space="preserve">PHASE 2</w:t>
            </w:r>
          </w:p>
        </w:tc>
        <w:tc>
          <w:tcPr>
            <w:tcW w:type="dxa" w:w="7760"/>
            <w:tcBorders>
              <w:top w:val="none" w:color="FFFFFF" w:sz="0"/>
              <w:left w:val="none" w:color="FFFFFF" w:sz="0"/>
              <w:bottom w:val="none" w:color="FFFFFF" w:sz="0"/>
              <w:right w:val="none" w:color="FFFFFF" w:sz="0"/>
            </w:tcBorders>
            <w:shd w:fill="6D28D9" w:val="clear"/>
            <w:tcMar>
              <w:top w:type="dxa" w:w="120"/>
              <w:left w:type="dxa" w:w="180"/>
              <w:bottom w:type="dxa" w:w="120"/>
              <w:right w:type="dxa" w:w="160"/>
            </w:tcMar>
          </w:tcPr>
          <w:p>
            <w:r>
              <w:rPr>
                <w:rFonts w:ascii="Arial" w:cs="Arial" w:eastAsia="Arial" w:hAnsi="Arial"/>
                <w:b/>
                <w:bCs/>
                <w:color w:val="FFFFFF"/>
                <w:sz w:val="24"/>
                <w:szCs w:val="24"/>
              </w:rPr>
              <w:t xml:space="preserve">Acceleration</w:t>
            </w:r>
          </w:p>
          <w:p>
            <w:r>
              <w:rPr>
                <w:rFonts w:ascii="Arial" w:cs="Arial" w:eastAsia="Arial" w:hAnsi="Arial"/>
                <w:color w:val="FFFFCC"/>
                <w:sz w:val="19"/>
                <w:szCs w:val="19"/>
              </w:rPr>
              <w:t xml:space="preserve">Years 4–9 — Stack Contributions, Invest Deliberately</w:t>
            </w:r>
          </w:p>
        </w:tc>
      </w:tr>
    </w:tbl>
    <w:p>
      <w:pPr>
        <w:spacing w:before="100" w:after="0"/>
      </w:pPr>
    </w:p>
    <w:p>
      <w:pPr>
        <w:spacing w:before="60" w:after="60"/>
        <w:jc w:val="both"/>
      </w:pPr>
      <w:r>
        <w:rPr>
          <w:rFonts w:ascii="Arial" w:cs="Arial" w:eastAsia="Arial" w:hAnsi="Arial"/>
          <w:color w:val="1F2937"/>
          <w:sz w:val="22"/>
          <w:szCs w:val="22"/>
        </w:rPr>
        <w:t xml:space="preserve">Your income is likely at or near its peak. Kids may be older. Debt is cleared. This is the window where you pour in as much as possible — consistently.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6D28D9"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w:t>
            </w:r>
          </w:p>
        </w:tc>
        <w:tc>
          <w:tcPr>
            <w:tcW w:type="dxa" w:w="8660"/>
            <w:tcBorders>
              <w:top w:val="single" w:color="E5E7EB" w:sz="6"/>
              <w:left w:val="single" w:color="E5E7EB" w:sz="6"/>
              <w:bottom w:val="single" w:color="E5E7EB" w:sz="6"/>
              <w:right w:val="single" w:color="E5E7EB" w:sz="6"/>
            </w:tcBorders>
            <w:shd w:fill="F4F7FA" w:val="clear"/>
            <w:tcMar>
              <w:top w:type="dxa" w:w="100"/>
              <w:left w:type="dxa" w:w="160"/>
              <w:bottom w:type="dxa" w:w="100"/>
              <w:right w:type="dxa" w:w="160"/>
            </w:tcMar>
          </w:tcPr>
          <w:p>
            <w:r>
              <w:rPr>
                <w:rFonts w:ascii="Arial" w:cs="Arial" w:eastAsia="Arial" w:hAnsi="Arial"/>
                <w:b/>
                <w:bCs/>
                <w:color w:val="0D1B2A"/>
                <w:sz w:val="22"/>
                <w:szCs w:val="22"/>
              </w:rPr>
              <w:t xml:space="preserve">Chase the Catch-Up Limits</w:t>
            </w:r>
          </w:p>
          <w:p>
            <w:pPr>
              <w:spacing w:before="40" w:after="0"/>
            </w:pPr>
            <w:r>
              <w:rPr>
                <w:rFonts w:ascii="Arial" w:cs="Arial" w:eastAsia="Arial" w:hAnsi="Arial"/>
                <w:color w:val="1F2937"/>
                <w:sz w:val="20"/>
                <w:szCs w:val="20"/>
              </w:rPr>
              <w:t xml:space="preserve">Once you hit 50, max the catch-up contributions: $30,500 into your 401(k), $8,000 into your IRA, $9,300 into your HSA if on a family HDHP. These numbers compound over the next 10–15 years more powerfully than anything else you can do.</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6D28D9"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w:t>
            </w:r>
          </w:p>
        </w:tc>
        <w:tc>
          <w:tcPr>
            <w:tcW w:type="dxa" w:w="8660"/>
            <w:tcBorders>
              <w:top w:val="single" w:color="E5E7EB" w:sz="6"/>
              <w:left w:val="single" w:color="E5E7EB" w:sz="6"/>
              <w:bottom w:val="single" w:color="E5E7EB" w:sz="6"/>
              <w:right w:val="single" w:color="E5E7EB" w:sz="6"/>
            </w:tcBorders>
            <w:shd w:fill="F4F7FA" w:val="clear"/>
            <w:tcMar>
              <w:top w:type="dxa" w:w="100"/>
              <w:left w:type="dxa" w:w="160"/>
              <w:bottom w:type="dxa" w:w="100"/>
              <w:right w:type="dxa" w:w="160"/>
            </w:tcMar>
          </w:tcPr>
          <w:p>
            <w:r>
              <w:rPr>
                <w:rFonts w:ascii="Arial" w:cs="Arial" w:eastAsia="Arial" w:hAnsi="Arial"/>
                <w:b/>
                <w:bCs/>
                <w:color w:val="0D1B2A"/>
                <w:sz w:val="22"/>
                <w:szCs w:val="22"/>
              </w:rPr>
              <w:t xml:space="preserve">Build Tax Diversification</w:t>
            </w:r>
          </w:p>
          <w:p>
            <w:pPr>
              <w:spacing w:before="40" w:after="0"/>
            </w:pPr>
            <w:r>
              <w:rPr>
                <w:rFonts w:ascii="Arial" w:cs="Arial" w:eastAsia="Arial" w:hAnsi="Arial"/>
                <w:color w:val="1F2937"/>
                <w:sz w:val="20"/>
                <w:szCs w:val="20"/>
              </w:rPr>
              <w:t xml:space="preserve">Target a mix: Pre-tax accounts (traditional 401k, traditional IRA) reduce taxes now. After-tax Roth accounts (Roth IRA, Roth 401k) grow tax-free in retirement. Taxable brokerage gives flexibility with no withdrawal rules. Spreading across all three gives you options when tax laws change.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6D28D9"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3</w:t>
            </w:r>
          </w:p>
        </w:tc>
        <w:tc>
          <w:tcPr>
            <w:tcW w:type="dxa" w:w="8660"/>
            <w:tcBorders>
              <w:top w:val="single" w:color="E5E7EB" w:sz="6"/>
              <w:left w:val="single" w:color="E5E7EB" w:sz="6"/>
              <w:bottom w:val="single" w:color="E5E7EB" w:sz="6"/>
              <w:right w:val="single" w:color="E5E7EB" w:sz="6"/>
            </w:tcBorders>
            <w:shd w:fill="F4F7FA" w:val="clear"/>
            <w:tcMar>
              <w:top w:type="dxa" w:w="100"/>
              <w:left w:type="dxa" w:w="160"/>
              <w:bottom w:type="dxa" w:w="100"/>
              <w:right w:type="dxa" w:w="160"/>
            </w:tcMar>
          </w:tcPr>
          <w:p>
            <w:r>
              <w:rPr>
                <w:rFonts w:ascii="Arial" w:cs="Arial" w:eastAsia="Arial" w:hAnsi="Arial"/>
                <w:b/>
                <w:bCs/>
                <w:color w:val="0D1B2A"/>
                <w:sz w:val="22"/>
                <w:szCs w:val="22"/>
              </w:rPr>
              <w:t xml:space="preserve">Invest for Growth, Not Safety (Yet)</w:t>
            </w:r>
          </w:p>
          <w:p>
            <w:pPr>
              <w:spacing w:before="40" w:after="0"/>
            </w:pPr>
            <w:r>
              <w:rPr>
                <w:rFonts w:ascii="Arial" w:cs="Arial" w:eastAsia="Arial" w:hAnsi="Arial"/>
                <w:color w:val="1F2937"/>
                <w:sz w:val="20"/>
                <w:szCs w:val="20"/>
              </w:rPr>
              <w:t xml:space="preserve">At 45, you have 20 years until you might start withdrawing. A portfolio that is 80% equities / 20% bonds is not aggressive for your timeline — it's appropriate. The real risk at your age isn't volatility — it's not growing enough. You have time to recover from downturns. You don't have time to recover from insufficient returns.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6D28D9"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4</w:t>
            </w:r>
          </w:p>
        </w:tc>
        <w:tc>
          <w:tcPr>
            <w:tcW w:type="dxa" w:w="8660"/>
            <w:tcBorders>
              <w:top w:val="single" w:color="E5E7EB" w:sz="6"/>
              <w:left w:val="single" w:color="E5E7EB" w:sz="6"/>
              <w:bottom w:val="single" w:color="E5E7EB" w:sz="6"/>
              <w:right w:val="single" w:color="E5E7EB" w:sz="6"/>
            </w:tcBorders>
            <w:shd w:fill="F4F7FA" w:val="clear"/>
            <w:tcMar>
              <w:top w:type="dxa" w:w="100"/>
              <w:left w:type="dxa" w:w="160"/>
              <w:bottom w:type="dxa" w:w="100"/>
              <w:right w:type="dxa" w:w="160"/>
            </w:tcMar>
          </w:tcPr>
          <w:p>
            <w:r>
              <w:rPr>
                <w:rFonts w:ascii="Arial" w:cs="Arial" w:eastAsia="Arial" w:hAnsi="Arial"/>
                <w:b/>
                <w:bCs/>
                <w:color w:val="0D1B2A"/>
                <w:sz w:val="22"/>
                <w:szCs w:val="22"/>
              </w:rPr>
              <w:t xml:space="preserve">Automate Investment Allocation</w:t>
            </w:r>
          </w:p>
          <w:p>
            <w:pPr>
              <w:spacing w:before="40" w:after="0"/>
            </w:pPr>
            <w:r>
              <w:rPr>
                <w:rFonts w:ascii="Arial" w:cs="Arial" w:eastAsia="Arial" w:hAnsi="Arial"/>
                <w:color w:val="1F2937"/>
                <w:sz w:val="20"/>
                <w:szCs w:val="20"/>
              </w:rPr>
              <w:t xml:space="preserve">Use target-date funds or a simple three-fund portfolio (total US market, international, bonds). Rebalance annually. Do not try to time the market. Time IN the market beats timing the market — always, for this horizon.</w:t>
            </w:r>
          </w:p>
        </w:tc>
      </w:tr>
    </w:tbl>
    <w:p>
      <w:pPr>
        <w:spacing w:before="60" w:after="0"/>
      </w:pP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6"/>
              <w:left w:val="single" w:color="6D28D9" w:sz="6"/>
              <w:bottom w:val="single" w:color="6D28D9" w:sz="6"/>
              <w:right w:val="single" w:color="6D28D9" w:sz="6"/>
            </w:tcBorders>
            <w:shd w:fill="F4F7FA" w:val="clear"/>
            <w:tcMar>
              <w:top w:type="dxa" w:w="160"/>
              <w:left w:type="dxa" w:w="240"/>
              <w:bottom w:type="dxa" w:w="160"/>
              <w:right w:type="dxa" w:w="240"/>
            </w:tcMar>
          </w:tcPr>
          <w:p>
            <w:pPr>
              <w:spacing w:before="50" w:after="50"/>
              <w:jc w:val="left"/>
            </w:pPr>
            <w:r>
              <w:rPr>
                <w:rFonts w:ascii="Arial" w:cs="Arial" w:eastAsia="Arial" w:hAnsi="Arial"/>
                <w:b/>
                <w:bCs/>
                <w:color w:val="0D1B2A"/>
                <w:sz w:val="22"/>
                <w:szCs w:val="22"/>
              </w:rPr>
              <w:t xml:space="preserve">Phase 2 Goal:</w:t>
            </w:r>
          </w:p>
          <w:p>
            <w:pPr>
              <w:spacing w:before="50" w:after="50"/>
              <w:jc w:val="left"/>
            </w:pPr>
            <w:r>
              <w:rPr>
                <w:rFonts w:ascii="Arial" w:cs="Arial" w:eastAsia="Arial" w:hAnsi="Arial"/>
                <w:b w:val="false"/>
                <w:bCs w:val="false"/>
                <w:color w:val="0D1B2A"/>
                <w:sz w:val="22"/>
                <w:szCs w:val="22"/>
              </w:rPr>
              <w:t xml:space="preserve">Contributions near or at catch-up limits, tax-diversified account structure, investment allocation appropriate for a 15-year horizon.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A7A4A" w:val="clear"/>
            <w:tcMar>
              <w:top w:type="dxa" w:w="140"/>
              <w:left w:type="dxa" w:w="160"/>
              <w:bottom w:type="dxa" w:w="140"/>
              <w:right w:type="dxa" w:w="120"/>
            </w:tcMar>
            <w:vAlign w:val="center"/>
          </w:tcPr>
          <w:p>
            <w:pPr>
              <w:jc w:val="center"/>
            </w:pPr>
            <w:r>
              <w:rPr>
                <w:rFonts w:ascii="Arial" w:cs="Arial" w:eastAsia="Arial" w:hAnsi="Arial"/>
                <w:b/>
                <w:bCs/>
                <w:color w:val="FFFFFF"/>
                <w:sz w:val="20"/>
                <w:szCs w:val="20"/>
              </w:rPr>
              <w:t xml:space="preserve">PHASE 3</w:t>
            </w:r>
          </w:p>
        </w:tc>
        <w:tc>
          <w:tcPr>
            <w:tcW w:type="dxa" w:w="7760"/>
            <w:tcBorders>
              <w:top w:val="none" w:color="FFFFFF" w:sz="0"/>
              <w:left w:val="none" w:color="FFFFFF" w:sz="0"/>
              <w:bottom w:val="none" w:color="FFFFFF" w:sz="0"/>
              <w:right w:val="none" w:color="FFFFFF" w:sz="0"/>
            </w:tcBorders>
            <w:shd w:fill="1A7A4A" w:val="clear"/>
            <w:tcMar>
              <w:top w:type="dxa" w:w="120"/>
              <w:left w:type="dxa" w:w="180"/>
              <w:bottom w:type="dxa" w:w="120"/>
              <w:right w:type="dxa" w:w="160"/>
            </w:tcMar>
          </w:tcPr>
          <w:p>
            <w:r>
              <w:rPr>
                <w:rFonts w:ascii="Arial" w:cs="Arial" w:eastAsia="Arial" w:hAnsi="Arial"/>
                <w:b/>
                <w:bCs/>
                <w:color w:val="FFFFFF"/>
                <w:sz w:val="24"/>
                <w:szCs w:val="24"/>
              </w:rPr>
              <w:t xml:space="preserve">Compounding</w:t>
            </w:r>
          </w:p>
          <w:p>
            <w:r>
              <w:rPr>
                <w:rFonts w:ascii="Arial" w:cs="Arial" w:eastAsia="Arial" w:hAnsi="Arial"/>
                <w:color w:val="FFFFCC"/>
                <w:sz w:val="19"/>
                <w:szCs w:val="19"/>
              </w:rPr>
              <w:t xml:space="preserve">Years 10–15 — Let the Math Work, Fine-Tune the Exit</w:t>
            </w:r>
          </w:p>
        </w:tc>
      </w:tr>
    </w:tbl>
    <w:p>
      <w:pPr>
        <w:spacing w:before="100" w:after="0"/>
      </w:pPr>
    </w:p>
    <w:p>
      <w:pPr>
        <w:spacing w:before="60" w:after="60"/>
        <w:jc w:val="both"/>
      </w:pPr>
      <w:r>
        <w:rPr>
          <w:rFonts w:ascii="Arial" w:cs="Arial" w:eastAsia="Arial" w:hAnsi="Arial"/>
          <w:color w:val="1F2937"/>
          <w:sz w:val="22"/>
          <w:szCs w:val="22"/>
        </w:rPr>
        <w:t xml:space="preserve">At this point, your account balances are doing more heavy lifting than your contributions. A $600,000 portfolio growing at 7.5% adds $45,000 that year — more than most people can contribute. Your job shifts from "add fuel" to "don't break what's working."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7A4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w:t>
            </w:r>
          </w:p>
        </w:tc>
        <w:tc>
          <w:tcPr>
            <w:tcW w:type="dxa" w:w="8660"/>
            <w:tcBorders>
              <w:top w:val="single" w:color="E5E7EB" w:sz="6"/>
              <w:left w:val="single" w:color="E5E7EB" w:sz="6"/>
              <w:bottom w:val="single" w:color="E5E7EB" w:sz="6"/>
              <w:right w:val="single" w:color="E5E7EB" w:sz="6"/>
            </w:tcBorders>
            <w:shd w:fill="F4F7FA" w:val="clear"/>
            <w:tcMar>
              <w:top w:type="dxa" w:w="100"/>
              <w:left w:type="dxa" w:w="160"/>
              <w:bottom w:type="dxa" w:w="100"/>
              <w:right w:type="dxa" w:w="160"/>
            </w:tcMar>
          </w:tcPr>
          <w:p>
            <w:r>
              <w:rPr>
                <w:rFonts w:ascii="Arial" w:cs="Arial" w:eastAsia="Arial" w:hAnsi="Arial"/>
                <w:b/>
                <w:bCs/>
                <w:color w:val="0D1B2A"/>
                <w:sz w:val="22"/>
                <w:szCs w:val="22"/>
              </w:rPr>
              <w:t xml:space="preserve">Begin Gradual De-Risking</w:t>
            </w:r>
          </w:p>
          <w:p>
            <w:pPr>
              <w:spacing w:before="40" w:after="0"/>
            </w:pPr>
            <w:r>
              <w:rPr>
                <w:rFonts w:ascii="Arial" w:cs="Arial" w:eastAsia="Arial" w:hAnsi="Arial"/>
                <w:color w:val="1F2937"/>
                <w:sz w:val="20"/>
                <w:szCs w:val="20"/>
              </w:rPr>
              <w:t xml:space="preserve">Starting 5–7 years before your target retirement date, slowly shift your allocation toward less volatility. Reduce equity exposure from ~80% to ~60–65%. Add more bonds, dividend stocks, and stable assets. You're protecting gains from a poorly timed market drop right before you need to draw down.</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7A4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w:t>
            </w:r>
          </w:p>
        </w:tc>
        <w:tc>
          <w:tcPr>
            <w:tcW w:type="dxa" w:w="8660"/>
            <w:tcBorders>
              <w:top w:val="single" w:color="E5E7EB" w:sz="6"/>
              <w:left w:val="single" w:color="E5E7EB" w:sz="6"/>
              <w:bottom w:val="single" w:color="E5E7EB" w:sz="6"/>
              <w:right w:val="single" w:color="E5E7EB" w:sz="6"/>
            </w:tcBorders>
            <w:shd w:fill="F4F7FA" w:val="clear"/>
            <w:tcMar>
              <w:top w:type="dxa" w:w="100"/>
              <w:left w:type="dxa" w:w="160"/>
              <w:bottom w:type="dxa" w:w="100"/>
              <w:right w:type="dxa" w:w="160"/>
            </w:tcMar>
          </w:tcPr>
          <w:p>
            <w:r>
              <w:rPr>
                <w:rFonts w:ascii="Arial" w:cs="Arial" w:eastAsia="Arial" w:hAnsi="Arial"/>
                <w:b/>
                <w:bCs/>
                <w:color w:val="0D1B2A"/>
                <w:sz w:val="22"/>
                <w:szCs w:val="22"/>
              </w:rPr>
              <w:t xml:space="preserve">Model Your Retirement Income</w:t>
            </w:r>
          </w:p>
          <w:p>
            <w:pPr>
              <w:spacing w:before="40" w:after="0"/>
            </w:pPr>
            <w:r>
              <w:rPr>
                <w:rFonts w:ascii="Arial" w:cs="Arial" w:eastAsia="Arial" w:hAnsi="Arial"/>
                <w:color w:val="1F2937"/>
                <w:sz w:val="20"/>
                <w:szCs w:val="20"/>
              </w:rPr>
              <w:t xml:space="preserve">Run the actual numbers: Social Security estimate (ssa.gov), Required Minimum Distributions from pre-tax accounts, Safe withdrawal rate (4% rule: withdraw 4% of portfolio annually), any pension or rental income. If projected income exceeds projected expenses — the number is there.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7A4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3</w:t>
            </w:r>
          </w:p>
        </w:tc>
        <w:tc>
          <w:tcPr>
            <w:tcW w:type="dxa" w:w="8660"/>
            <w:tcBorders>
              <w:top w:val="single" w:color="E5E7EB" w:sz="6"/>
              <w:left w:val="single" w:color="E5E7EB" w:sz="6"/>
              <w:bottom w:val="single" w:color="E5E7EB" w:sz="6"/>
              <w:right w:val="single" w:color="E5E7EB" w:sz="6"/>
            </w:tcBorders>
            <w:shd w:fill="F4F7FA" w:val="clear"/>
            <w:tcMar>
              <w:top w:type="dxa" w:w="100"/>
              <w:left w:type="dxa" w:w="160"/>
              <w:bottom w:type="dxa" w:w="100"/>
              <w:right w:type="dxa" w:w="160"/>
            </w:tcMar>
          </w:tcPr>
          <w:p>
            <w:r>
              <w:rPr>
                <w:rFonts w:ascii="Arial" w:cs="Arial" w:eastAsia="Arial" w:hAnsi="Arial"/>
                <w:b/>
                <w:bCs/>
                <w:color w:val="0D1B2A"/>
                <w:sz w:val="22"/>
                <w:szCs w:val="22"/>
              </w:rPr>
              <w:t xml:space="preserve">Strategic Roth Conversions</w:t>
            </w:r>
          </w:p>
          <w:p>
            <w:pPr>
              <w:spacing w:before="40" w:after="0"/>
            </w:pPr>
            <w:r>
              <w:rPr>
                <w:rFonts w:ascii="Arial" w:cs="Arial" w:eastAsia="Arial" w:hAnsi="Arial"/>
                <w:color w:val="1F2937"/>
                <w:sz w:val="20"/>
                <w:szCs w:val="20"/>
              </w:rPr>
              <w:t xml:space="preserve">If you retire before 70 and have a gap between your living expenses and your RMD age, use those years to convert pre-tax dollars to Roth at your current lower tax rate. This reduces future forced taxable income and creates a larger tax-free inheritance for heirs.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7A4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4</w:t>
            </w:r>
          </w:p>
        </w:tc>
        <w:tc>
          <w:tcPr>
            <w:tcW w:type="dxa" w:w="8660"/>
            <w:tcBorders>
              <w:top w:val="single" w:color="E5E7EB" w:sz="6"/>
              <w:left w:val="single" w:color="E5E7EB" w:sz="6"/>
              <w:bottom w:val="single" w:color="E5E7EB" w:sz="6"/>
              <w:right w:val="single" w:color="E5E7EB" w:sz="6"/>
            </w:tcBorders>
            <w:shd w:fill="F4F7FA" w:val="clear"/>
            <w:tcMar>
              <w:top w:type="dxa" w:w="100"/>
              <w:left w:type="dxa" w:w="160"/>
              <w:bottom w:type="dxa" w:w="100"/>
              <w:right w:type="dxa" w:w="160"/>
            </w:tcMar>
          </w:tcPr>
          <w:p>
            <w:r>
              <w:rPr>
                <w:rFonts w:ascii="Arial" w:cs="Arial" w:eastAsia="Arial" w:hAnsi="Arial"/>
                <w:b/>
                <w:bCs/>
                <w:color w:val="0D1B2A"/>
                <w:sz w:val="22"/>
                <w:szCs w:val="22"/>
              </w:rPr>
              <w:t xml:space="preserve">Delay Social Security if Possible</w:t>
            </w:r>
          </w:p>
          <w:p>
            <w:pPr>
              <w:spacing w:before="40" w:after="0"/>
            </w:pPr>
            <w:r>
              <w:rPr>
                <w:rFonts w:ascii="Arial" w:cs="Arial" w:eastAsia="Arial" w:hAnsi="Arial"/>
                <w:color w:val="1F2937"/>
                <w:sz w:val="20"/>
                <w:szCs w:val="20"/>
              </w:rPr>
              <w:t xml:space="preserve">Every year you delay Social Security past 62 increases your benefit — up to 8% per year guaranteed. If you can fund your early retirement from portfolio withdrawals and delay Social Security to 67 or 70, the lifetime benefit difference can exceed $100,000–$200,000. This is the most consistently underutilized retirement lever available.</w:t>
            </w:r>
          </w:p>
        </w:tc>
      </w:tr>
    </w:tbl>
    <w:p>
      <w:pPr>
        <w:spacing w:before="60" w:after="0"/>
      </w:pP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6"/>
              <w:left w:val="single" w:color="1A7A4A" w:sz="6"/>
              <w:bottom w:val="single" w:color="1A7A4A" w:sz="6"/>
              <w:right w:val="single" w:color="1A7A4A" w:sz="6"/>
            </w:tcBorders>
            <w:shd w:fill="F4F7FA" w:val="clear"/>
            <w:tcMar>
              <w:top w:type="dxa" w:w="160"/>
              <w:left w:type="dxa" w:w="240"/>
              <w:bottom w:type="dxa" w:w="160"/>
              <w:right w:type="dxa" w:w="240"/>
            </w:tcMar>
          </w:tcPr>
          <w:p>
            <w:pPr>
              <w:spacing w:before="50" w:after="50"/>
              <w:jc w:val="left"/>
            </w:pPr>
            <w:r>
              <w:rPr>
                <w:rFonts w:ascii="Arial" w:cs="Arial" w:eastAsia="Arial" w:hAnsi="Arial"/>
                <w:b/>
                <w:bCs/>
                <w:color w:val="0D1B2A"/>
                <w:sz w:val="22"/>
                <w:szCs w:val="22"/>
              </w:rPr>
              <w:t xml:space="preserve">Phase 3 Goal:</w:t>
            </w:r>
          </w:p>
          <w:p>
            <w:pPr>
              <w:spacing w:before="50" w:after="50"/>
              <w:jc w:val="left"/>
            </w:pPr>
            <w:r>
              <w:rPr>
                <w:rFonts w:ascii="Arial" w:cs="Arial" w:eastAsia="Arial" w:hAnsi="Arial"/>
                <w:b w:val="false"/>
                <w:bCs w:val="false"/>
                <w:color w:val="0D1B2A"/>
                <w:sz w:val="22"/>
                <w:szCs w:val="22"/>
              </w:rPr>
              <w:t xml:space="preserve">Portfolio de-risked appropriately, retirement income modeled, Roth conversion strategy in motion, Social Security delay plan confirmed.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220"/>
              <w:left w:type="dxa" w:w="320"/>
              <w:bottom w:type="dxa" w:w="220"/>
              <w:right w:type="dxa" w:w="320"/>
            </w:tcMar>
          </w:tcPr>
          <w:p>
            <w:pPr>
              <w:jc w:val="center"/>
            </w:pPr>
            <w:r>
              <w:rPr>
                <w:rFonts w:ascii="Arial" w:cs="Arial" w:eastAsia="Arial" w:hAnsi="Arial"/>
                <w:b/>
                <w:bCs/>
                <w:color w:val="FFFFFF"/>
                <w:sz w:val="30"/>
                <w:szCs w:val="30"/>
              </w:rPr>
              <w:t xml:space="preserve">7 Tips Most Late Starters Never Use</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7F79"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w:t>
            </w:r>
          </w:p>
        </w:tc>
        <w:tc>
          <w:tcPr>
            <w:tcW w:type="dxa" w:w="8660"/>
            <w:tcBorders>
              <w:top w:val="single" w:color="E5E7EB" w:sz="6"/>
              <w:left w:val="single" w:color="E5E7EB" w:sz="6"/>
              <w:bottom w:val="single" w:color="E5E7EB" w:sz="6"/>
              <w:right w:val="single" w:color="E5E7EB" w:sz="6"/>
            </w:tcBorders>
            <w:shd w:fill="F4F7FA" w:val="clear"/>
            <w:tcMar>
              <w:top w:type="dxa" w:w="100"/>
              <w:left w:type="dxa" w:w="160"/>
              <w:bottom w:type="dxa" w:w="100"/>
              <w:right w:type="dxa" w:w="160"/>
            </w:tcMar>
          </w:tcPr>
          <w:p>
            <w:r>
              <w:rPr>
                <w:rFonts w:ascii="Arial" w:cs="Arial" w:eastAsia="Arial" w:hAnsi="Arial"/>
                <w:b/>
                <w:bCs/>
                <w:color w:val="0D1B2A"/>
                <w:sz w:val="22"/>
                <w:szCs w:val="22"/>
              </w:rPr>
              <w:t xml:space="preserve">The Catch-Up Birthday Move</w:t>
            </w:r>
          </w:p>
          <w:p>
            <w:pPr>
              <w:spacing w:before="40" w:after="0"/>
            </w:pPr>
            <w:r>
              <w:rPr>
                <w:rFonts w:ascii="Arial" w:cs="Arial" w:eastAsia="Arial" w:hAnsi="Arial"/>
                <w:color w:val="1F2937"/>
                <w:sz w:val="20"/>
                <w:szCs w:val="20"/>
              </w:rPr>
              <w:t xml:space="preserve">The IRS catch-up contribution kicks in the year you turn 50 — not on your birthday, but on January 1 of that year. If you turn 50 in November, you can contribute the higher catch-up amount starting January 1. Update your 401(k) contribution rate on January 1 of your 50th birthday year.</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7F79"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w:t>
            </w:r>
          </w:p>
        </w:tc>
        <w:tc>
          <w:tcPr>
            <w:tcW w:type="dxa" w:w="8660"/>
            <w:tcBorders>
              <w:top w:val="single" w:color="E5E7EB" w:sz="6"/>
              <w:left w:val="single" w:color="E5E7EB" w:sz="6"/>
              <w:bottom w:val="single" w:color="E5E7EB" w:sz="6"/>
              <w:right w:val="single" w:color="E5E7EB" w:sz="6"/>
            </w:tcBorders>
            <w:shd w:fill="F4F7FA" w:val="clear"/>
            <w:tcMar>
              <w:top w:type="dxa" w:w="100"/>
              <w:left w:type="dxa" w:w="160"/>
              <w:bottom w:type="dxa" w:w="100"/>
              <w:right w:type="dxa" w:w="160"/>
            </w:tcMar>
          </w:tcPr>
          <w:p>
            <w:r>
              <w:rPr>
                <w:rFonts w:ascii="Arial" w:cs="Arial" w:eastAsia="Arial" w:hAnsi="Arial"/>
                <w:b/>
                <w:bCs/>
                <w:color w:val="0D1B2A"/>
                <w:sz w:val="22"/>
                <w:szCs w:val="22"/>
              </w:rPr>
              <w:t xml:space="preserve">The Social Security 8% Guarantee</w:t>
            </w:r>
          </w:p>
          <w:p>
            <w:pPr>
              <w:spacing w:before="40" w:after="0"/>
            </w:pPr>
            <w:r>
              <w:rPr>
                <w:rFonts w:ascii="Arial" w:cs="Arial" w:eastAsia="Arial" w:hAnsi="Arial"/>
                <w:color w:val="1F2937"/>
                <w:sz w:val="20"/>
                <w:szCs w:val="20"/>
              </w:rPr>
              <w:t xml:space="preserve">From age 62 to 70, every year you delay Social Security increases your monthly benefit by approximately 6–8%. From Full Retirement Age (67 for most) to 70, it's exactly 8% per year — guaranteed, risk-free, inflation-adjusted. No stock, bond, or savings account offers an 8% guaranteed return. If you have any other income to bridge the gap, delaying to 70 is almost always the mathematically correct move.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6D28D9"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3</w:t>
            </w:r>
          </w:p>
        </w:tc>
        <w:tc>
          <w:tcPr>
            <w:tcW w:type="dxa" w:w="8660"/>
            <w:tcBorders>
              <w:top w:val="single" w:color="E5E7EB" w:sz="6"/>
              <w:left w:val="single" w:color="E5E7EB" w:sz="6"/>
              <w:bottom w:val="single" w:color="E5E7EB" w:sz="6"/>
              <w:right w:val="single" w:color="E5E7EB" w:sz="6"/>
            </w:tcBorders>
            <w:shd w:fill="F4F7FA" w:val="clear"/>
            <w:tcMar>
              <w:top w:type="dxa" w:w="100"/>
              <w:left w:type="dxa" w:w="160"/>
              <w:bottom w:type="dxa" w:w="100"/>
              <w:right w:type="dxa" w:w="160"/>
            </w:tcMar>
          </w:tcPr>
          <w:p>
            <w:r>
              <w:rPr>
                <w:rFonts w:ascii="Arial" w:cs="Arial" w:eastAsia="Arial" w:hAnsi="Arial"/>
                <w:b/>
                <w:bCs/>
                <w:color w:val="0D1B2A"/>
                <w:sz w:val="22"/>
                <w:szCs w:val="22"/>
              </w:rPr>
              <w:t xml:space="preserve">The Spousal Social Security Optimization</w:t>
            </w:r>
          </w:p>
          <w:p>
            <w:pPr>
              <w:spacing w:before="40" w:after="0"/>
            </w:pPr>
            <w:r>
              <w:rPr>
                <w:rFonts w:ascii="Arial" w:cs="Arial" w:eastAsia="Arial" w:hAnsi="Arial"/>
                <w:color w:val="1F2937"/>
                <w:sz w:val="20"/>
                <w:szCs w:val="20"/>
              </w:rPr>
              <w:t xml:space="preserve">If you're married, Social Security strategy becomes a two-person puzzle. The higher-earning spouse should almost always delay to 70. The lower-earning spouse can claim earlier. The surviving spouse gets the higher of the two benefits — so maximizing the larger benefit protects the surviving spouse for the rest of their life.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6D28D9"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4</w:t>
            </w:r>
          </w:p>
        </w:tc>
        <w:tc>
          <w:tcPr>
            <w:tcW w:type="dxa" w:w="8660"/>
            <w:tcBorders>
              <w:top w:val="single" w:color="E5E7EB" w:sz="6"/>
              <w:left w:val="single" w:color="E5E7EB" w:sz="6"/>
              <w:bottom w:val="single" w:color="E5E7EB" w:sz="6"/>
              <w:right w:val="single" w:color="E5E7EB" w:sz="6"/>
            </w:tcBorders>
            <w:shd w:fill="F4F7FA" w:val="clear"/>
            <w:tcMar>
              <w:top w:type="dxa" w:w="100"/>
              <w:left w:type="dxa" w:w="160"/>
              <w:bottom w:type="dxa" w:w="100"/>
              <w:right w:type="dxa" w:w="160"/>
            </w:tcMar>
          </w:tcPr>
          <w:p>
            <w:r>
              <w:rPr>
                <w:rFonts w:ascii="Arial" w:cs="Arial" w:eastAsia="Arial" w:hAnsi="Arial"/>
                <w:b/>
                <w:bCs/>
                <w:color w:val="0D1B2A"/>
                <w:sz w:val="22"/>
                <w:szCs w:val="22"/>
              </w:rPr>
              <w:t xml:space="preserve">Tax Bracket Surfing</w:t>
            </w:r>
          </w:p>
          <w:p>
            <w:pPr>
              <w:spacing w:before="40" w:after="0"/>
            </w:pPr>
            <w:r>
              <w:rPr>
                <w:rFonts w:ascii="Arial" w:cs="Arial" w:eastAsia="Arial" w:hAnsi="Arial"/>
                <w:color w:val="1F2937"/>
                <w:sz w:val="20"/>
                <w:szCs w:val="20"/>
              </w:rPr>
              <w:t xml:space="preserve">In retirement, you control your taxable income in a way you never could while working. Roth conversions during low-income years (early retirement, before RMDs) let you fill up lower tax brackets deliberately — converting pre-tax dollars to Roth at 12% instead of letting RMDs force the same conversion at 22% or 24% later.</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B45309"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5</w:t>
            </w:r>
          </w:p>
        </w:tc>
        <w:tc>
          <w:tcPr>
            <w:tcW w:type="dxa" w:w="8660"/>
            <w:tcBorders>
              <w:top w:val="single" w:color="E5E7EB" w:sz="6"/>
              <w:left w:val="single" w:color="E5E7EB" w:sz="6"/>
              <w:bottom w:val="single" w:color="E5E7EB" w:sz="6"/>
              <w:right w:val="single" w:color="E5E7EB" w:sz="6"/>
            </w:tcBorders>
            <w:shd w:fill="F4F7FA" w:val="clear"/>
            <w:tcMar>
              <w:top w:type="dxa" w:w="100"/>
              <w:left w:type="dxa" w:w="160"/>
              <w:bottom w:type="dxa" w:w="100"/>
              <w:right w:type="dxa" w:w="160"/>
            </w:tcMar>
          </w:tcPr>
          <w:p>
            <w:r>
              <w:rPr>
                <w:rFonts w:ascii="Arial" w:cs="Arial" w:eastAsia="Arial" w:hAnsi="Arial"/>
                <w:b/>
                <w:bCs/>
                <w:color w:val="0D1B2A"/>
                <w:sz w:val="22"/>
                <w:szCs w:val="22"/>
              </w:rPr>
              <w:t xml:space="preserve">Sequence-of-Returns Risk Is the Biggest Late-Career Danger</w:t>
            </w:r>
          </w:p>
          <w:p>
            <w:pPr>
              <w:spacing w:before="40" w:after="0"/>
            </w:pPr>
            <w:r>
              <w:rPr>
                <w:rFonts w:ascii="Arial" w:cs="Arial" w:eastAsia="Arial" w:hAnsi="Arial"/>
                <w:color w:val="1F2937"/>
                <w:sz w:val="20"/>
                <w:szCs w:val="20"/>
              </w:rPr>
              <w:t xml:space="preserve">A 30% market drop two years before you retire — and you withdraw from a depleted portfolio — can permanently derail your retirement, even if the market recovers fully. Solution: build a 2–3 year cash/bond buffer starting 5 years before retirement. Never sell equities in a down market to fund living expenses.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B45309"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6</w:t>
            </w:r>
          </w:p>
        </w:tc>
        <w:tc>
          <w:tcPr>
            <w:tcW w:type="dxa" w:w="8660"/>
            <w:tcBorders>
              <w:top w:val="single" w:color="E5E7EB" w:sz="6"/>
              <w:left w:val="single" w:color="E5E7EB" w:sz="6"/>
              <w:bottom w:val="single" w:color="E5E7EB" w:sz="6"/>
              <w:right w:val="single" w:color="E5E7EB" w:sz="6"/>
            </w:tcBorders>
            <w:shd w:fill="F4F7FA" w:val="clear"/>
            <w:tcMar>
              <w:top w:type="dxa" w:w="100"/>
              <w:left w:type="dxa" w:w="160"/>
              <w:bottom w:type="dxa" w:w="100"/>
              <w:right w:type="dxa" w:w="160"/>
            </w:tcMar>
          </w:tcPr>
          <w:p>
            <w:r>
              <w:rPr>
                <w:rFonts w:ascii="Arial" w:cs="Arial" w:eastAsia="Arial" w:hAnsi="Arial"/>
                <w:b/>
                <w:bCs/>
                <w:color w:val="0D1B2A"/>
                <w:sz w:val="22"/>
                <w:szCs w:val="22"/>
              </w:rPr>
              <w:t xml:space="preserve">Asset Location (Not Just Allocation)</w:t>
            </w:r>
          </w:p>
          <w:p>
            <w:pPr>
              <w:spacing w:before="40" w:after="0"/>
            </w:pPr>
            <w:r>
              <w:rPr>
                <w:rFonts w:ascii="Arial" w:cs="Arial" w:eastAsia="Arial" w:hAnsi="Arial"/>
                <w:color w:val="1F2937"/>
                <w:sz w:val="20"/>
                <w:szCs w:val="20"/>
              </w:rPr>
              <w:t xml:space="preserve">Where you hold investments matters almost as much as what you hold. Put tax-inefficient assets (bonds, REITs, high-dividend stocks) in tax-advantaged accounts. Put tax-efficient assets (index funds, growth stocks) in taxable brokerage accounts. Correct asset location can add 0.5–1% per year in after-tax returns with zero change to risk or return profile.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7A4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7</w:t>
            </w:r>
          </w:p>
        </w:tc>
        <w:tc>
          <w:tcPr>
            <w:tcW w:type="dxa" w:w="8660"/>
            <w:tcBorders>
              <w:top w:val="single" w:color="E5E7EB" w:sz="6"/>
              <w:left w:val="single" w:color="E5E7EB" w:sz="6"/>
              <w:bottom w:val="single" w:color="E5E7EB" w:sz="6"/>
              <w:right w:val="single" w:color="E5E7EB" w:sz="6"/>
            </w:tcBorders>
            <w:shd w:fill="F4F7FA" w:val="clear"/>
            <w:tcMar>
              <w:top w:type="dxa" w:w="100"/>
              <w:left w:type="dxa" w:w="160"/>
              <w:bottom w:type="dxa" w:w="100"/>
              <w:right w:type="dxa" w:w="160"/>
            </w:tcMar>
          </w:tcPr>
          <w:p>
            <w:r>
              <w:rPr>
                <w:rFonts w:ascii="Arial" w:cs="Arial" w:eastAsia="Arial" w:hAnsi="Arial"/>
                <w:b/>
                <w:bCs/>
                <w:color w:val="0D1B2A"/>
                <w:sz w:val="22"/>
                <w:szCs w:val="22"/>
              </w:rPr>
              <w:t xml:space="preserve">The Part-Time Bridge Strategy</w:t>
            </w:r>
          </w:p>
          <w:p>
            <w:pPr>
              <w:spacing w:before="40" w:after="0"/>
            </w:pPr>
            <w:r>
              <w:rPr>
                <w:rFonts w:ascii="Arial" w:cs="Arial" w:eastAsia="Arial" w:hAnsi="Arial"/>
                <w:color w:val="1F2937"/>
                <w:sz w:val="20"/>
                <w:szCs w:val="20"/>
              </w:rPr>
              <w:t xml:space="preserve">You don't have to go from full-time work to full retirement in one step. Working part-time (even 20 hours/week) for 3–5 years past your 'retirement date' dramatically reduces how much you need to withdraw from your portfolio during its most vulnerable early years. Each year you partially earn your living is a year your portfolio continues to compound.</w:t>
            </w:r>
          </w:p>
        </w:tc>
      </w:tr>
    </w:tbl>
    <w:p>
      <w:pPr>
        <w:spacing w:before="6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7F79" w:val="clear"/>
            <w:tcMar>
              <w:top w:type="dxa" w:w="220"/>
              <w:left w:type="dxa" w:w="320"/>
              <w:bottom w:type="dxa" w:w="220"/>
              <w:right w:type="dxa" w:w="320"/>
            </w:tcMar>
          </w:tcPr>
          <w:p>
            <w:pPr>
              <w:jc w:val="center"/>
            </w:pPr>
            <w:r>
              <w:rPr>
                <w:rFonts w:ascii="Arial" w:cs="Arial" w:eastAsia="Arial" w:hAnsi="Arial"/>
                <w:b/>
                <w:bCs/>
                <w:color w:val="FFFFFF"/>
                <w:sz w:val="30"/>
                <w:szCs w:val="30"/>
              </w:rPr>
              <w:t xml:space="preserve">5 Hacks That Compress the Timeline</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7F79"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HACK</w:t>
            </w:r>
          </w:p>
          <w:p>
            <w:pPr>
              <w:jc w:val="center"/>
            </w:pPr>
            <w:r>
              <w:rPr>
                <w:rFonts w:ascii="Arial" w:cs="Arial" w:eastAsia="Arial" w:hAnsi="Arial"/>
                <w:b/>
                <w:bCs/>
                <w:color w:val="FFFFFF"/>
                <w:sz w:val="30"/>
                <w:szCs w:val="30"/>
              </w:rPr>
              <w:t xml:space="preserve">#1</w:t>
            </w:r>
          </w:p>
        </w:tc>
        <w:tc>
          <w:tcPr>
            <w:tcW w:type="dxa" w:w="8260"/>
            <w:tcBorders>
              <w:top w:val="single" w:color="E5E7EB" w:sz="6"/>
              <w:left w:val="single" w:color="E5E7EB" w:sz="6"/>
              <w:bottom w:val="single" w:color="E5E7EB" w:sz="6"/>
              <w:right w:val="single" w:color="E5E7EB" w:sz="6"/>
            </w:tcBorders>
            <w:shd w:fill="FFFFFF" w:val="clear"/>
            <w:tcMar>
              <w:top w:type="dxa" w:w="100"/>
              <w:left w:type="dxa" w:w="160"/>
              <w:bottom w:type="dxa" w:w="100"/>
              <w:right w:type="dxa" w:w="160"/>
            </w:tcMar>
          </w:tcPr>
          <w:p>
            <w:r>
              <w:rPr>
                <w:rFonts w:ascii="Arial" w:cs="Arial" w:eastAsia="Arial" w:hAnsi="Arial"/>
                <w:b/>
                <w:bCs/>
                <w:color w:val="0D1B2A"/>
                <w:sz w:val="22"/>
                <w:szCs w:val="22"/>
              </w:rPr>
              <w:t xml:space="preserve">The HSA as a Stealth Retirement Account</w:t>
            </w:r>
          </w:p>
          <w:p>
            <w:pPr>
              <w:spacing w:before="40" w:after="0"/>
            </w:pPr>
            <w:r>
              <w:rPr>
                <w:rFonts w:ascii="Arial" w:cs="Arial" w:eastAsia="Arial" w:hAnsi="Arial"/>
                <w:color w:val="1F2937"/>
                <w:sz w:val="20"/>
                <w:szCs w:val="20"/>
              </w:rPr>
              <w:t xml:space="preserve">An HSA has a triple tax advantage: contributions are pre-tax, growth is tax-free, and qualified medical withdrawals are tax-free. After age 65, you can withdraw for any purpose — taxed like a traditional IRA. Strategy: pay current medical expenses out of pocket (save receipts), let the HSA grow invested in index funds, and reimburse yourself for decades-old medical expenses in retirement — creating tax-free income from a fully legal basis.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0D1B2A"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HACK</w:t>
            </w:r>
          </w:p>
          <w:p>
            <w:pPr>
              <w:jc w:val="center"/>
            </w:pPr>
            <w:r>
              <w:rPr>
                <w:rFonts w:ascii="Arial" w:cs="Arial" w:eastAsia="Arial" w:hAnsi="Arial"/>
                <w:b/>
                <w:bCs/>
                <w:color w:val="FFFFFF"/>
                <w:sz w:val="30"/>
                <w:szCs w:val="30"/>
              </w:rPr>
              <w:t xml:space="preserve">#2</w:t>
            </w:r>
          </w:p>
        </w:tc>
        <w:tc>
          <w:tcPr>
            <w:tcW w:type="dxa" w:w="8260"/>
            <w:tcBorders>
              <w:top w:val="single" w:color="E5E7EB" w:sz="6"/>
              <w:left w:val="single" w:color="E5E7EB" w:sz="6"/>
              <w:bottom w:val="single" w:color="E5E7EB" w:sz="6"/>
              <w:right w:val="single" w:color="E5E7EB" w:sz="6"/>
            </w:tcBorders>
            <w:shd w:fill="FFFFFF" w:val="clear"/>
            <w:tcMar>
              <w:top w:type="dxa" w:w="100"/>
              <w:left w:type="dxa" w:w="160"/>
              <w:bottom w:type="dxa" w:w="100"/>
              <w:right w:type="dxa" w:w="160"/>
            </w:tcMar>
          </w:tcPr>
          <w:p>
            <w:r>
              <w:rPr>
                <w:rFonts w:ascii="Arial" w:cs="Arial" w:eastAsia="Arial" w:hAnsi="Arial"/>
                <w:b/>
                <w:bCs/>
                <w:color w:val="0D1B2A"/>
                <w:sz w:val="22"/>
                <w:szCs w:val="22"/>
              </w:rPr>
              <w:t xml:space="preserve">The Backdoor Roth for High Earners</w:t>
            </w:r>
          </w:p>
          <w:p>
            <w:pPr>
              <w:spacing w:before="40" w:after="0"/>
            </w:pPr>
            <w:r>
              <w:rPr>
                <w:rFonts w:ascii="Arial" w:cs="Arial" w:eastAsia="Arial" w:hAnsi="Arial"/>
                <w:color w:val="1F2937"/>
                <w:sz w:val="20"/>
                <w:szCs w:val="20"/>
              </w:rPr>
              <w:t xml:space="preserve">If your income exceeds the Roth IRA income limit (~$161K single / ~$240K married), contribute to a nondeductible traditional IRA and immediately convert it to Roth. Tax owed on conversion: near zero (you're converting after-tax basis). The result: Roth IRA growth and tax-free withdrawals regardless of income. Done properly with Form 8606 filed annually, this is completely legal and used by millions of high-income earners.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6D28D9"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HACK</w:t>
            </w:r>
          </w:p>
          <w:p>
            <w:pPr>
              <w:jc w:val="center"/>
            </w:pPr>
            <w:r>
              <w:rPr>
                <w:rFonts w:ascii="Arial" w:cs="Arial" w:eastAsia="Arial" w:hAnsi="Arial"/>
                <w:b/>
                <w:bCs/>
                <w:color w:val="FFFFFF"/>
                <w:sz w:val="30"/>
                <w:szCs w:val="30"/>
              </w:rPr>
              <w:t xml:space="preserve">#3</w:t>
            </w:r>
          </w:p>
        </w:tc>
        <w:tc>
          <w:tcPr>
            <w:tcW w:type="dxa" w:w="8260"/>
            <w:tcBorders>
              <w:top w:val="single" w:color="E5E7EB" w:sz="6"/>
              <w:left w:val="single" w:color="E5E7EB" w:sz="6"/>
              <w:bottom w:val="single" w:color="E5E7EB" w:sz="6"/>
              <w:right w:val="single" w:color="E5E7EB" w:sz="6"/>
            </w:tcBorders>
            <w:shd w:fill="FFFFFF" w:val="clear"/>
            <w:tcMar>
              <w:top w:type="dxa" w:w="100"/>
              <w:left w:type="dxa" w:w="160"/>
              <w:bottom w:type="dxa" w:w="100"/>
              <w:right w:type="dxa" w:w="160"/>
            </w:tcMar>
          </w:tcPr>
          <w:p>
            <w:r>
              <w:rPr>
                <w:rFonts w:ascii="Arial" w:cs="Arial" w:eastAsia="Arial" w:hAnsi="Arial"/>
                <w:b/>
                <w:bCs/>
                <w:color w:val="0D1B2A"/>
                <w:sz w:val="22"/>
                <w:szCs w:val="22"/>
              </w:rPr>
              <w:t xml:space="preserve">The Roth Conversion Ladder</w:t>
            </w:r>
          </w:p>
          <w:p>
            <w:pPr>
              <w:spacing w:before="40" w:after="0"/>
            </w:pPr>
            <w:r>
              <w:rPr>
                <w:rFonts w:ascii="Arial" w:cs="Arial" w:eastAsia="Arial" w:hAnsi="Arial"/>
                <w:color w:val="1F2937"/>
                <w:sz w:val="20"/>
                <w:szCs w:val="20"/>
              </w:rPr>
              <w:t xml:space="preserve">If you retire before 59½ and have pre-tax accounts, you need access to money without the 10% early withdrawal penalty. The Roth conversion ladder solves this: convert pre-tax dollars to Roth each year, pay income tax on the conversion, and withdraw those converted dollars 5 years later penalty-free. With 5 years of advance planning, this creates a tax-efficient income stream from pre-tax accounts without early withdrawal penalties.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A7A4A"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HACK</w:t>
            </w:r>
          </w:p>
          <w:p>
            <w:pPr>
              <w:jc w:val="center"/>
            </w:pPr>
            <w:r>
              <w:rPr>
                <w:rFonts w:ascii="Arial" w:cs="Arial" w:eastAsia="Arial" w:hAnsi="Arial"/>
                <w:b/>
                <w:bCs/>
                <w:color w:val="FFFFFF"/>
                <w:sz w:val="30"/>
                <w:szCs w:val="30"/>
              </w:rPr>
              <w:t xml:space="preserve">#4</w:t>
            </w:r>
          </w:p>
        </w:tc>
        <w:tc>
          <w:tcPr>
            <w:tcW w:type="dxa" w:w="8260"/>
            <w:tcBorders>
              <w:top w:val="single" w:color="E5E7EB" w:sz="6"/>
              <w:left w:val="single" w:color="E5E7EB" w:sz="6"/>
              <w:bottom w:val="single" w:color="E5E7EB" w:sz="6"/>
              <w:right w:val="single" w:color="E5E7EB" w:sz="6"/>
            </w:tcBorders>
            <w:shd w:fill="FFFFFF" w:val="clear"/>
            <w:tcMar>
              <w:top w:type="dxa" w:w="100"/>
              <w:left w:type="dxa" w:w="160"/>
              <w:bottom w:type="dxa" w:w="100"/>
              <w:right w:type="dxa" w:w="160"/>
            </w:tcMar>
          </w:tcPr>
          <w:p>
            <w:r>
              <w:rPr>
                <w:rFonts w:ascii="Arial" w:cs="Arial" w:eastAsia="Arial" w:hAnsi="Arial"/>
                <w:b/>
                <w:bCs/>
                <w:color w:val="0D1B2A"/>
                <w:sz w:val="22"/>
                <w:szCs w:val="22"/>
              </w:rPr>
              <w:t xml:space="preserve">Real Estate Equity as Retirement Fuel</w:t>
            </w:r>
          </w:p>
          <w:p>
            <w:pPr>
              <w:spacing w:before="40" w:after="0"/>
            </w:pPr>
            <w:r>
              <w:rPr>
                <w:rFonts w:ascii="Arial" w:cs="Arial" w:eastAsia="Arial" w:hAnsi="Arial"/>
                <w:color w:val="1F2937"/>
                <w:sz w:val="20"/>
                <w:szCs w:val="20"/>
              </w:rPr>
              <w:t xml:space="preserve">If you own a home, the equity is often your largest asset — and most people leave it completely idle. Activate it: downsize at retirement to free up $200–$500K in equity, rent a room or accessory dwelling unit for passive income that reduces your portfolio withdrawal rate, or use a HELOC as an emergency buffer to keep cash invested rather than sitting idle as a safety net. The home is a retirement asset. Treat it like one.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B45309"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HACK</w:t>
            </w:r>
          </w:p>
          <w:p>
            <w:pPr>
              <w:jc w:val="center"/>
            </w:pPr>
            <w:r>
              <w:rPr>
                <w:rFonts w:ascii="Arial" w:cs="Arial" w:eastAsia="Arial" w:hAnsi="Arial"/>
                <w:b/>
                <w:bCs/>
                <w:color w:val="FFFFFF"/>
                <w:sz w:val="30"/>
                <w:szCs w:val="30"/>
              </w:rPr>
              <w:t xml:space="preserve">#5</w:t>
            </w:r>
          </w:p>
        </w:tc>
        <w:tc>
          <w:tcPr>
            <w:tcW w:type="dxa" w:w="8260"/>
            <w:tcBorders>
              <w:top w:val="single" w:color="E5E7EB" w:sz="6"/>
              <w:left w:val="single" w:color="E5E7EB" w:sz="6"/>
              <w:bottom w:val="single" w:color="E5E7EB" w:sz="6"/>
              <w:right w:val="single" w:color="E5E7EB" w:sz="6"/>
            </w:tcBorders>
            <w:shd w:fill="FFFFFF" w:val="clear"/>
            <w:tcMar>
              <w:top w:type="dxa" w:w="100"/>
              <w:left w:type="dxa" w:w="160"/>
              <w:bottom w:type="dxa" w:w="100"/>
              <w:right w:type="dxa" w:w="160"/>
            </w:tcMar>
          </w:tcPr>
          <w:p>
            <w:r>
              <w:rPr>
                <w:rFonts w:ascii="Arial" w:cs="Arial" w:eastAsia="Arial" w:hAnsi="Arial"/>
                <w:b/>
                <w:bCs/>
                <w:color w:val="0D1B2A"/>
                <w:sz w:val="22"/>
                <w:szCs w:val="22"/>
              </w:rPr>
              <w:t xml:space="preserve">Delay Social Security + Bridge With Roth</w:t>
            </w:r>
          </w:p>
          <w:p>
            <w:pPr>
              <w:spacing w:before="40" w:after="0"/>
            </w:pPr>
            <w:r>
              <w:rPr>
                <w:rFonts w:ascii="Arial" w:cs="Arial" w:eastAsia="Arial" w:hAnsi="Arial"/>
                <w:color w:val="1F2937"/>
                <w:sz w:val="20"/>
                <w:szCs w:val="20"/>
              </w:rPr>
              <w:t xml:space="preserve">The optimal play for many 40+ late starters: retire at 62–65 using Roth IRA withdrawals (tax-free, no RMD requirements), let Social Security grow at 8%/year until 70, then switch to maximum Social Security income for the rest of your life. This strategy is tax-efficient, maximizes lifetime Social Security benefits, and preserves pre-tax accounts for later. The lifetime income gain can exceed $200,000 for couples.</w:t>
            </w:r>
          </w:p>
        </w:tc>
      </w:tr>
    </w:tbl>
    <w:p>
      <w:pPr>
        <w:spacing w:before="6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553E" w:val="clear"/>
            <w:tcMar>
              <w:top w:type="dxa" w:w="220"/>
              <w:left w:type="dxa" w:w="320"/>
              <w:bottom w:type="dxa" w:w="220"/>
              <w:right w:type="dxa" w:w="320"/>
            </w:tcMar>
          </w:tcPr>
          <w:p>
            <w:pPr>
              <w:jc w:val="center"/>
            </w:pPr>
            <w:r>
              <w:rPr>
                <w:rFonts w:ascii="Arial" w:cs="Arial" w:eastAsia="Arial" w:hAnsi="Arial"/>
                <w:b/>
                <w:bCs/>
                <w:color w:val="FFFFFF"/>
                <w:sz w:val="30"/>
                <w:szCs w:val="30"/>
              </w:rPr>
              <w:t xml:space="preserve">Late-Starter Mistakes to Avoid</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E8553E"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X1</w:t>
            </w:r>
          </w:p>
        </w:tc>
        <w:tc>
          <w:tcPr>
            <w:tcW w:type="dxa" w:w="8660"/>
            <w:tcBorders>
              <w:top w:val="single" w:color="E5E7EB" w:sz="6"/>
              <w:left w:val="single" w:color="E5E7EB" w:sz="6"/>
              <w:bottom w:val="single" w:color="E5E7EB" w:sz="6"/>
              <w:right w:val="single" w:color="E5E7EB" w:sz="6"/>
            </w:tcBorders>
            <w:shd w:fill="FFF5F5" w:val="clear"/>
            <w:tcMar>
              <w:top w:type="dxa" w:w="100"/>
              <w:left w:type="dxa" w:w="160"/>
              <w:bottom w:type="dxa" w:w="100"/>
              <w:right w:type="dxa" w:w="160"/>
            </w:tcMar>
          </w:tcPr>
          <w:p>
            <w:r>
              <w:rPr>
                <w:rFonts w:ascii="Arial" w:cs="Arial" w:eastAsia="Arial" w:hAnsi="Arial"/>
                <w:b/>
                <w:bCs/>
                <w:color w:val="E8553E"/>
                <w:sz w:val="22"/>
                <w:szCs w:val="22"/>
              </w:rPr>
              <w:t xml:space="preserve">Being Too Conservative With Investments</w:t>
            </w:r>
          </w:p>
          <w:p>
            <w:pPr>
              <w:spacing w:before="40" w:after="0"/>
            </w:pPr>
            <w:r>
              <w:rPr>
                <w:rFonts w:ascii="Arial" w:cs="Arial" w:eastAsia="Arial" w:hAnsi="Arial"/>
                <w:color w:val="1F2937"/>
                <w:sz w:val="20"/>
                <w:szCs w:val="20"/>
              </w:rPr>
              <w:t xml:space="preserve">The most common mistake 40-something investors make is moving to bonds and 'safe' investments too early out of fear. At 45, you likely have 20–25 years before you need to draw significantly from your portfolio. An 80/20 equity/bond split is not risky for a 20-year horizon — it's appropriate. Being too conservative guarantees underperformance and makes the 7-figure goal mathematically harder.</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E8553E"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X2</w:t>
            </w:r>
          </w:p>
        </w:tc>
        <w:tc>
          <w:tcPr>
            <w:tcW w:type="dxa" w:w="8660"/>
            <w:tcBorders>
              <w:top w:val="single" w:color="E5E7EB" w:sz="6"/>
              <w:left w:val="single" w:color="E5E7EB" w:sz="6"/>
              <w:bottom w:val="single" w:color="E5E7EB" w:sz="6"/>
              <w:right w:val="single" w:color="E5E7EB" w:sz="6"/>
            </w:tcBorders>
            <w:shd w:fill="FFF5F5" w:val="clear"/>
            <w:tcMar>
              <w:top w:type="dxa" w:w="100"/>
              <w:left w:type="dxa" w:w="160"/>
              <w:bottom w:type="dxa" w:w="100"/>
              <w:right w:type="dxa" w:w="160"/>
            </w:tcMar>
          </w:tcPr>
          <w:p>
            <w:r>
              <w:rPr>
                <w:rFonts w:ascii="Arial" w:cs="Arial" w:eastAsia="Arial" w:hAnsi="Arial"/>
                <w:b/>
                <w:bCs/>
                <w:color w:val="E8553E"/>
                <w:sz w:val="22"/>
                <w:szCs w:val="22"/>
              </w:rPr>
              <w:t xml:space="preserve">Cashing Out a 401(k) When Changing Jobs</w:t>
            </w:r>
          </w:p>
          <w:p>
            <w:pPr>
              <w:spacing w:before="40" w:after="0"/>
            </w:pPr>
            <w:r>
              <w:rPr>
                <w:rFonts w:ascii="Arial" w:cs="Arial" w:eastAsia="Arial" w:hAnsi="Arial"/>
                <w:color w:val="1F2937"/>
                <w:sz w:val="20"/>
                <w:szCs w:val="20"/>
              </w:rPr>
              <w:t xml:space="preserve">Every time you change employers and cash out a 401(k) instead of rolling it over, you pay income tax plus a 10% penalty — and lose decades of compounding on that money. Always roll over to your new employer's 401(k) or an IRA. This is one of the most expensive 'I needed the money' decisions in personal finance.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E8553E"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X3</w:t>
            </w:r>
          </w:p>
        </w:tc>
        <w:tc>
          <w:tcPr>
            <w:tcW w:type="dxa" w:w="8660"/>
            <w:tcBorders>
              <w:top w:val="single" w:color="E5E7EB" w:sz="6"/>
              <w:left w:val="single" w:color="E5E7EB" w:sz="6"/>
              <w:bottom w:val="single" w:color="E5E7EB" w:sz="6"/>
              <w:right w:val="single" w:color="E5E7EB" w:sz="6"/>
            </w:tcBorders>
            <w:shd w:fill="FFF5F5" w:val="clear"/>
            <w:tcMar>
              <w:top w:type="dxa" w:w="100"/>
              <w:left w:type="dxa" w:w="160"/>
              <w:bottom w:type="dxa" w:w="100"/>
              <w:right w:type="dxa" w:w="160"/>
            </w:tcMar>
          </w:tcPr>
          <w:p>
            <w:r>
              <w:rPr>
                <w:rFonts w:ascii="Arial" w:cs="Arial" w:eastAsia="Arial" w:hAnsi="Arial"/>
                <w:b/>
                <w:bCs/>
                <w:color w:val="E8553E"/>
                <w:sz w:val="22"/>
                <w:szCs w:val="22"/>
              </w:rPr>
              <w:t xml:space="preserve">Ignoring the Roth vs. Traditional Decision</w:t>
            </w:r>
          </w:p>
          <w:p>
            <w:pPr>
              <w:spacing w:before="40" w:after="0"/>
            </w:pPr>
            <w:r>
              <w:rPr>
                <w:rFonts w:ascii="Arial" w:cs="Arial" w:eastAsia="Arial" w:hAnsi="Arial"/>
                <w:color w:val="1F2937"/>
                <w:sz w:val="20"/>
                <w:szCs w:val="20"/>
              </w:rPr>
              <w:t xml:space="preserve">Most people default to traditional (pre-tax) contributions because they want the deduction now. But if you expect to be in a similar or higher tax bracket in retirement — or if tax rates rise — Roth contributions can produce a better outcome. Run the comparison. Don't just accept the default.</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E8553E"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X4</w:t>
            </w:r>
          </w:p>
        </w:tc>
        <w:tc>
          <w:tcPr>
            <w:tcW w:type="dxa" w:w="8660"/>
            <w:tcBorders>
              <w:top w:val="single" w:color="E5E7EB" w:sz="6"/>
              <w:left w:val="single" w:color="E5E7EB" w:sz="6"/>
              <w:bottom w:val="single" w:color="E5E7EB" w:sz="6"/>
              <w:right w:val="single" w:color="E5E7EB" w:sz="6"/>
            </w:tcBorders>
            <w:shd w:fill="FFF5F5" w:val="clear"/>
            <w:tcMar>
              <w:top w:type="dxa" w:w="100"/>
              <w:left w:type="dxa" w:w="160"/>
              <w:bottom w:type="dxa" w:w="100"/>
              <w:right w:type="dxa" w:w="160"/>
            </w:tcMar>
          </w:tcPr>
          <w:p>
            <w:r>
              <w:rPr>
                <w:rFonts w:ascii="Arial" w:cs="Arial" w:eastAsia="Arial" w:hAnsi="Arial"/>
                <w:b/>
                <w:bCs/>
                <w:color w:val="E8553E"/>
                <w:sz w:val="22"/>
                <w:szCs w:val="22"/>
              </w:rPr>
              <w:t xml:space="preserve">Waiting for the 'Right Time' to Invest</w:t>
            </w:r>
          </w:p>
          <w:p>
            <w:pPr>
              <w:spacing w:before="40" w:after="0"/>
            </w:pPr>
            <w:r>
              <w:rPr>
                <w:rFonts w:ascii="Arial" w:cs="Arial" w:eastAsia="Arial" w:hAnsi="Arial"/>
                <w:color w:val="1F2937"/>
                <w:sz w:val="20"/>
                <w:szCs w:val="20"/>
              </w:rPr>
              <w:t xml:space="preserve">Every month of inaction is a month of compounding you don't get back. The market always feels uncertain. 'I'll invest when things stabilize' is a sentence people have said in every decade for 100 years — and the market has recovered from every single drop. Time in the market consistently beats timing the market for long time horizons.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E8553E"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X5</w:t>
            </w:r>
          </w:p>
        </w:tc>
        <w:tc>
          <w:tcPr>
            <w:tcW w:type="dxa" w:w="8660"/>
            <w:tcBorders>
              <w:top w:val="single" w:color="E5E7EB" w:sz="6"/>
              <w:left w:val="single" w:color="E5E7EB" w:sz="6"/>
              <w:bottom w:val="single" w:color="E5E7EB" w:sz="6"/>
              <w:right w:val="single" w:color="E5E7EB" w:sz="6"/>
            </w:tcBorders>
            <w:shd w:fill="FFF5F5" w:val="clear"/>
            <w:tcMar>
              <w:top w:type="dxa" w:w="100"/>
              <w:left w:type="dxa" w:w="160"/>
              <w:bottom w:type="dxa" w:w="100"/>
              <w:right w:type="dxa" w:w="160"/>
            </w:tcMar>
          </w:tcPr>
          <w:p>
            <w:r>
              <w:rPr>
                <w:rFonts w:ascii="Arial" w:cs="Arial" w:eastAsia="Arial" w:hAnsi="Arial"/>
                <w:b/>
                <w:bCs/>
                <w:color w:val="E8553E"/>
                <w:sz w:val="22"/>
                <w:szCs w:val="22"/>
              </w:rPr>
              <w:t xml:space="preserve">Underestimating Healthcare Costs in Retirement</w:t>
            </w:r>
          </w:p>
          <w:p>
            <w:pPr>
              <w:spacing w:before="40" w:after="0"/>
            </w:pPr>
            <w:r>
              <w:rPr>
                <w:rFonts w:ascii="Arial" w:cs="Arial" w:eastAsia="Arial" w:hAnsi="Arial"/>
                <w:color w:val="1F2937"/>
                <w:sz w:val="20"/>
                <w:szCs w:val="20"/>
              </w:rPr>
              <w:t xml:space="preserve">The average couple retiring at 65 needs $315,000 (after Medicare) for healthcare costs in retirement. If you plan to retire before 65, add the cost of private health insurance to your model ($1,500–$2,500/month depending on plan and state). Healthcare is the most undermodeled retirement expense and the most common reason people run short.</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E8553E"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X6</w:t>
            </w:r>
          </w:p>
        </w:tc>
        <w:tc>
          <w:tcPr>
            <w:tcW w:type="dxa" w:w="8660"/>
            <w:tcBorders>
              <w:top w:val="single" w:color="E5E7EB" w:sz="6"/>
              <w:left w:val="single" w:color="E5E7EB" w:sz="6"/>
              <w:bottom w:val="single" w:color="E5E7EB" w:sz="6"/>
              <w:right w:val="single" w:color="E5E7EB" w:sz="6"/>
            </w:tcBorders>
            <w:shd w:fill="FFF5F5" w:val="clear"/>
            <w:tcMar>
              <w:top w:type="dxa" w:w="100"/>
              <w:left w:type="dxa" w:w="160"/>
              <w:bottom w:type="dxa" w:w="100"/>
              <w:right w:type="dxa" w:w="160"/>
            </w:tcMar>
          </w:tcPr>
          <w:p>
            <w:r>
              <w:rPr>
                <w:rFonts w:ascii="Arial" w:cs="Arial" w:eastAsia="Arial" w:hAnsi="Arial"/>
                <w:b/>
                <w:bCs/>
                <w:color w:val="E8553E"/>
                <w:sz w:val="22"/>
                <w:szCs w:val="22"/>
              </w:rPr>
              <w:t xml:space="preserve">Treating Social Security as a Fixed Number</w:t>
            </w:r>
          </w:p>
          <w:p>
            <w:pPr>
              <w:spacing w:before="40" w:after="0"/>
            </w:pPr>
            <w:r>
              <w:rPr>
                <w:rFonts w:ascii="Arial" w:cs="Arial" w:eastAsia="Arial" w:hAnsi="Arial"/>
                <w:color w:val="1F2937"/>
                <w:sz w:val="20"/>
                <w:szCs w:val="20"/>
              </w:rPr>
              <w:t xml:space="preserve">Your Social Security benefit is not fixed — it changes based on when you claim, your earnings history, and spousal strategy. Get your Social Security estimate at ssa.gov. Run the breakeven analysis. For most people in good health, delaying to 70 wins. Don't assume the default claiming age is optimal for your situation.</w:t>
            </w:r>
          </w:p>
        </w:tc>
      </w:tr>
    </w:tbl>
    <w:p>
      <w:pPr>
        <w:spacing w:before="6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220"/>
              <w:left w:type="dxa" w:w="320"/>
              <w:bottom w:type="dxa" w:w="220"/>
              <w:right w:type="dxa" w:w="320"/>
            </w:tcMar>
          </w:tcPr>
          <w:p>
            <w:pPr>
              <w:jc w:val="center"/>
            </w:pPr>
            <w:r>
              <w:rPr>
                <w:rFonts w:ascii="Arial" w:cs="Arial" w:eastAsia="Arial" w:hAnsi="Arial"/>
                <w:b/>
                <w:bCs/>
                <w:color w:val="FFFFFF"/>
                <w:sz w:val="32"/>
                <w:szCs w:val="32"/>
              </w:rPr>
              <w:t xml:space="preserve">Your Best Financial Years Are Ahead</w:t>
            </w:r>
          </w:p>
        </w:tc>
      </w:tr>
    </w:tbl>
    <w:p>
      <w:pPr>
        <w:spacing w:before="120" w:after="0"/>
      </w:pPr>
    </w:p>
    <w:p>
      <w:pPr>
        <w:spacing w:before="60" w:after="60"/>
        <w:jc w:val="both"/>
      </w:pPr>
      <w:r>
        <w:rPr>
          <w:rFonts w:ascii="Arial" w:cs="Arial" w:eastAsia="Arial" w:hAnsi="Arial"/>
          <w:color w:val="1F2937"/>
          <w:sz w:val="22"/>
          <w:szCs w:val="22"/>
        </w:rPr>
        <w:t xml:space="preserve">Here's what's true about building wealth after 40: you have advantages a 25-year-old doesn't. Higher income. More financial clarity. Fewer financial distractions as life stabilizes. Catch-up contribution room the IRS wrote specifically for you.</w:t>
      </w:r>
    </w:p>
    <w:p>
      <w:pPr>
        <w:spacing w:before="80" w:after="0"/>
      </w:pPr>
    </w:p>
    <w:p>
      <w:pPr>
        <w:spacing w:before="60" w:after="60"/>
        <w:jc w:val="both"/>
      </w:pPr>
      <w:r>
        <w:rPr>
          <w:rFonts w:ascii="Arial" w:cs="Arial" w:eastAsia="Arial" w:hAnsi="Arial"/>
          <w:color w:val="1F2937"/>
          <w:sz w:val="22"/>
          <w:szCs w:val="22"/>
        </w:rPr>
        <w:t xml:space="preserve">The math, run honestly, shows that 15 disciplined years can produce the same result as 30 casual years. Compound interest doesn't care how old you are when you start. It only cares how long you stay.</w:t>
      </w:r>
    </w:p>
    <w:p>
      <w:pPr>
        <w:spacing w:before="100" w:after="0"/>
      </w:pPr>
    </w:p>
    <w:p>
      <w:pPr>
        <w:spacing w:before="120" w:after="60"/>
      </w:pPr>
      <w:r>
        <w:rPr>
          <w:rFonts w:ascii="Arial" w:cs="Arial" w:eastAsia="Arial" w:hAnsi="Arial"/>
          <w:b/>
          <w:bCs/>
          <w:color w:val="0D1B2A"/>
          <w:sz w:val="24"/>
          <w:szCs w:val="24"/>
        </w:rPr>
        <w:t xml:space="preserve">Your Move — Right Now:</w:t>
      </w:r>
    </w:p>
    <w:p>
      <w:pPr>
        <w:pStyle w:val="ListParagraph"/>
        <w:numPr>
          <w:ilvl w:val="0"/>
          <w:numId w:val="2"/>
        </w:numPr>
        <w:spacing w:before="40" w:after="40"/>
      </w:pPr>
      <w:r>
        <w:rPr>
          <w:rFonts w:ascii="Arial" w:cs="Arial" w:eastAsia="Arial" w:hAnsi="Arial"/>
          <w:color w:val="1F2937"/>
          <w:sz w:val="22"/>
          <w:szCs w:val="22"/>
        </w:rPr>
        <w:t xml:space="preserve">Run your number — what monthly contribution, at what return, hits your target?</w:t>
      </w:r>
    </w:p>
    <w:p>
      <w:pPr>
        <w:pStyle w:val="ListParagraph"/>
        <w:numPr>
          <w:ilvl w:val="0"/>
          <w:numId w:val="3"/>
        </w:numPr>
        <w:spacing w:before="40" w:after="40"/>
      </w:pPr>
      <w:r>
        <w:rPr>
          <w:rFonts w:ascii="Arial" w:cs="Arial" w:eastAsia="Arial" w:hAnsi="Arial"/>
          <w:color w:val="1F2937"/>
          <w:sz w:val="22"/>
          <w:szCs w:val="22"/>
        </w:rPr>
        <w:t xml:space="preserve">Open every account you don't have yet (HSA, IRA, brokerage)</w:t>
      </w:r>
    </w:p>
    <w:p>
      <w:pPr>
        <w:pStyle w:val="ListParagraph"/>
        <w:numPr>
          <w:ilvl w:val="0"/>
          <w:numId w:val="4"/>
        </w:numPr>
        <w:spacing w:before="40" w:after="40"/>
      </w:pPr>
      <w:r>
        <w:rPr>
          <w:rFonts w:ascii="Arial" w:cs="Arial" w:eastAsia="Arial" w:hAnsi="Arial"/>
          <w:color w:val="1F2937"/>
          <w:sz w:val="22"/>
          <w:szCs w:val="22"/>
        </w:rPr>
        <w:t xml:space="preserve">Increase your 401(k) contribution by 2% this week</w:t>
      </w:r>
    </w:p>
    <w:p>
      <w:pPr>
        <w:pStyle w:val="ListParagraph"/>
        <w:numPr>
          <w:ilvl w:val="0"/>
          <w:numId w:val="5"/>
        </w:numPr>
        <w:spacing w:before="40" w:after="40"/>
      </w:pPr>
      <w:r>
        <w:rPr>
          <w:rFonts w:ascii="Arial" w:cs="Arial" w:eastAsia="Arial" w:hAnsi="Arial"/>
          <w:color w:val="1F2937"/>
          <w:sz w:val="22"/>
          <w:szCs w:val="22"/>
        </w:rPr>
        <w:t xml:space="preserve">Check your Social Security estimate at ssa.gov</w:t>
      </w:r>
    </w:p>
    <w:p>
      <w:pPr>
        <w:pStyle w:val="ListParagraph"/>
        <w:numPr>
          <w:ilvl w:val="0"/>
          <w:numId w:val="6"/>
        </w:numPr>
        <w:spacing w:before="40" w:after="40"/>
      </w:pPr>
      <w:r>
        <w:rPr>
          <w:rFonts w:ascii="Arial" w:cs="Arial" w:eastAsia="Arial" w:hAnsi="Arial"/>
          <w:color w:val="1F2937"/>
          <w:sz w:val="22"/>
          <w:szCs w:val="22"/>
        </w:rPr>
        <w:t xml:space="preserve">Set a calendar reminder: every January, increase contributions by 1%</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6"/>
              <w:left w:val="single" w:color="F5A623" w:sz="6"/>
              <w:bottom w:val="single" w:color="F5A623" w:sz="6"/>
              <w:right w:val="single" w:color="F5A623" w:sz="6"/>
            </w:tcBorders>
            <w:shd w:fill="0D1B2A" w:val="clear"/>
            <w:tcMar>
              <w:top w:type="dxa" w:w="200"/>
              <w:left w:type="dxa" w:w="320"/>
              <w:bottom w:type="dxa" w:w="200"/>
              <w:right w:type="dxa" w:w="320"/>
            </w:tcMar>
          </w:tcPr>
          <w:p>
            <w:pPr>
              <w:jc w:val="center"/>
            </w:pPr>
            <w:r>
              <w:rPr>
                <w:rFonts w:ascii="Arial" w:cs="Arial" w:eastAsia="Arial" w:hAnsi="Arial"/>
                <w:b/>
                <w:bCs/>
                <w:color w:val="FFFFFF"/>
                <w:sz w:val="26"/>
                <w:szCs w:val="26"/>
              </w:rPr>
              <w:t xml:space="preserve">You're not behind on retirement.</w:t>
            </w:r>
          </w:p>
          <w:p>
            <w:pPr>
              <w:spacing w:before="80" w:after="0"/>
              <w:jc w:val="center"/>
            </w:pPr>
            <w:r>
              <w:rPr>
                <w:rFonts w:ascii="Arial" w:cs="Arial" w:eastAsia="Arial" w:hAnsi="Arial"/>
                <w:color w:val="E5E7EB"/>
                <w:sz w:val="22"/>
                <w:szCs w:val="22"/>
              </w:rPr>
              <w:t xml:space="preserve">You're 15 years into the best financial decision you've ever made —</w:t>
            </w:r>
          </w:p>
          <w:p>
            <w:pPr>
              <w:jc w:val="center"/>
            </w:pPr>
            <w:r>
              <w:rPr>
                <w:rFonts w:ascii="Arial" w:cs="Arial" w:eastAsia="Arial" w:hAnsi="Arial"/>
                <w:b/>
                <w:bCs/>
                <w:color w:val="F5A623"/>
                <w:sz w:val="24"/>
                <w:szCs w:val="24"/>
              </w:rPr>
              <w:t xml:space="preserve">you just haven't made it yet.</w:t>
            </w:r>
          </w:p>
        </w:tc>
      </w:tr>
    </w:tbl>
    <w:p>
      <w:pPr>
        <w:spacing w:before="120" w:after="0"/>
      </w:pPr>
    </w:p>
    <w:p>
      <w:pPr>
        <w:spacing w:before="60" w:after="60"/>
        <w:jc w:val="center"/>
      </w:pPr>
      <w:r>
        <w:rPr>
          <w:rFonts w:ascii="Arial" w:cs="Arial" w:eastAsia="Arial" w:hAnsi="Arial"/>
          <w:color w:val="1F2937"/>
          <w:sz w:val="22"/>
          <w:szCs w:val="22"/>
        </w:rPr>
        <w:t xml:space="preserve">Part of the Wealth &amp; Personal Finance transformation series.</w:t>
      </w:r>
    </w:p>
    <w:p>
      <w:pPr>
        <w:spacing w:before="60" w:after="0"/>
      </w:pPr>
    </w:p>
    <w:p>
      <w:pPr>
        <w:spacing w:before="60" w:after="60"/>
        <w:jc w:val="center"/>
      </w:pPr>
      <w:r>
        <w:rPr>
          <w:rFonts w:ascii="Arial" w:cs="Arial" w:eastAsia="Arial" w:hAnsi="Arial"/>
          <w:color w:val="1F2937"/>
          <w:sz w:val="22"/>
          <w:szCs w:val="22"/>
        </w:rPr>
        <w:t xml:space="preserve">Cash in Blue LLC  |  Thomas Perdana  |  thomas.perdana@cashinblue.com  |  cashinblue.com</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6" w:space="1"/>
      </w:pBdr>
      <w:spacing w:before="120" w:after="0"/>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  40+ Retirement Reset  |  © Cash in Blue LLC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F79" w:sz="6" w:space="1"/>
      </w:pBdr>
      <w:tabs>
        <w:tab w:val="right" w:pos="9026"/>
      </w:tabs>
      <w:spacing w:before="0" w:after="120"/>
    </w:pPr>
    <w:r>
      <w:rPr>
        <w:rFonts w:ascii="Arial" w:cs="Arial" w:eastAsia="Arial" w:hAnsi="Arial"/>
        <w:b/>
        <w:bCs/>
        <w:color w:val="0D1B2A"/>
        <w:sz w:val="18"/>
        <w:szCs w:val="18"/>
      </w:rPr>
      <w:t xml:space="preserve">THE 40+ RETIREMENT RESET</w:t>
    </w:r>
    <w:r>
      <w:rPr>
        <w:rFonts w:ascii="Arial" w:cs="Arial" w:eastAsia="Arial" w:hAnsi="Arial"/>
        <w:color w:val="6B7280"/>
        <w:sz w:val="18"/>
        <w:szCs w:val="18"/>
      </w:rPr>
      <w:t xml:space="preserve">	Cash in Blue LLC  |  cashinblue.com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D1B2A"/>
      <w:sz w:val="36"/>
      <w:szCs w:val="36"/>
    </w:rPr>
  </w:style>
  <w:style w:type="paragraph" w:styleId="Heading2">
    <w:name w:val="Heading 2"/>
    <w:basedOn w:val="Normal"/>
    <w:next w:val="Normal"/>
    <w:qFormat/>
    <w:pPr>
      <w:spacing w:before="240" w:after="80"/>
      <w:outlineLvl w:val="1"/>
    </w:pPr>
    <w:rPr>
      <w:rFonts w:ascii="Arial" w:cs="Arial" w:eastAsia="Arial" w:hAnsi="Arial"/>
      <w:b/>
      <w:bCs/>
      <w:color w:val="1B7F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2026-03-31T11:51:50.423Z</dcterms:created>
  <dcterms:modified xsi:type="dcterms:W3CDTF">2026-03-31T11:51:50.424Z</dcterms:modified>
</cp:coreProperties>
</file>

<file path=docProps/custom.xml><?xml version="1.0" encoding="utf-8"?>
<Properties xmlns="http://schemas.openxmlformats.org/officeDocument/2006/custom-properties" xmlns:vt="http://schemas.openxmlformats.org/officeDocument/2006/docPropsVTypes"/>
</file>