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38"/>
                <w:szCs w:val="38"/>
              </w:rPr>
              <w:t xml:space="preserve">THE AUTOPILOT PORTFOLIO</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A623" w:val="clear"/>
            <w:tcMar>
              <w:top w:type="dxa" w:w="220"/>
              <w:left w:type="dxa" w:w="320"/>
              <w:bottom w:type="dxa" w:w="220"/>
              <w:right w:type="dxa" w:w="320"/>
            </w:tcMar>
          </w:tcPr>
          <w:p>
            <w:pPr>
              <w:jc w:val="center"/>
            </w:pPr>
            <w:r>
              <w:rPr>
                <w:rFonts w:ascii="Arial" w:cs="Arial" w:eastAsia="Arial" w:hAnsi="Arial"/>
                <w:b/>
                <w:bCs/>
                <w:color w:val="0D1B2A"/>
                <w:sz w:val="23"/>
                <w:szCs w:val="23"/>
              </w:rPr>
              <w:t xml:space="preserve">Set Up a Hands-Off Investing System in One Weekend</w:t>
            </w:r>
          </w:p>
          <w:p>
            <w:pPr>
              <w:jc w:val="center"/>
            </w:pPr>
            <w:r>
              <w:rPr>
                <w:rFonts w:ascii="Arial" w:cs="Arial" w:eastAsia="Arial" w:hAnsi="Arial"/>
                <w:b w:val="false"/>
                <w:bCs w:val="false"/>
                <w:color w:val="0D1B2A"/>
                <w:sz w:val="22"/>
                <w:szCs w:val="22"/>
              </w:rPr>
              <w:t xml:space="preserve">That Builds Wealth While You Sleep — No Financial Advisor Required</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7F79" w:val="clear"/>
            <w:tcMar>
              <w:top w:type="dxa" w:w="120"/>
              <w:left w:type="dxa" w:w="120"/>
              <w:bottom w:type="dxa" w:w="120"/>
              <w:right w:type="dxa" w:w="120"/>
            </w:tcMar>
          </w:tcPr>
          <w:p>
            <w:pPr>
              <w:jc w:val="center"/>
            </w:pPr>
            <w:r>
              <w:rPr>
                <w:rFonts w:ascii="Arial" w:cs="Arial" w:eastAsia="Arial" w:hAnsi="Arial"/>
                <w:b/>
                <w:bCs/>
                <w:color w:val="FFFFFF"/>
                <w:sz w:val="26"/>
                <w:szCs w:val="26"/>
              </w:rPr>
              <w:t xml:space="preserve">SATURDAY</w:t>
            </w:r>
          </w:p>
          <w:p>
            <w:pPr>
              <w:jc w:val="center"/>
            </w:pPr>
            <w:r>
              <w:rPr>
                <w:rFonts w:ascii="Arial" w:cs="Arial" w:eastAsia="Arial" w:hAnsi="Arial"/>
                <w:color w:val="FFFFCC"/>
                <w:sz w:val="18"/>
                <w:szCs w:val="18"/>
              </w:rPr>
              <w:t xml:space="preserve">Research, Open &amp; Fund</w:t>
            </w:r>
          </w:p>
        </w:tc>
        <w:tc>
          <w:tcPr>
            <w:tcW w:type="dxa" w:w="468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tcPr>
          <w:p>
            <w:pPr>
              <w:jc w:val="center"/>
            </w:pPr>
            <w:r>
              <w:rPr>
                <w:rFonts w:ascii="Arial" w:cs="Arial" w:eastAsia="Arial" w:hAnsi="Arial"/>
                <w:b/>
                <w:bCs/>
                <w:color w:val="FFFFFF"/>
                <w:sz w:val="26"/>
                <w:szCs w:val="26"/>
              </w:rPr>
              <w:t xml:space="preserve">SUNDAY</w:t>
            </w:r>
          </w:p>
          <w:p>
            <w:pPr>
              <w:jc w:val="center"/>
            </w:pPr>
            <w:r>
              <w:rPr>
                <w:rFonts w:ascii="Arial" w:cs="Arial" w:eastAsia="Arial" w:hAnsi="Arial"/>
                <w:color w:val="FFFFCC"/>
                <w:sz w:val="18"/>
                <w:szCs w:val="18"/>
              </w:rPr>
              <w:t xml:space="preserve">Build, Automate &amp; Walk Away</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79" w:sz="6"/>
              <w:left w:val="single" w:color="1B7F79" w:sz="6"/>
              <w:bottom w:val="single" w:color="1B7F79" w:sz="6"/>
              <w:right w:val="single" w:color="1B7F79" w:sz="6"/>
            </w:tcBorders>
            <w:shd w:fill="F4F7FA" w:val="clear"/>
            <w:tcMar>
              <w:top w:type="dxa" w:w="160"/>
              <w:left w:type="dxa" w:w="240"/>
              <w:bottom w:type="dxa" w:w="160"/>
              <w:right w:type="dxa" w:w="240"/>
            </w:tcMar>
          </w:tcPr>
          <w:p>
            <w:pPr>
              <w:spacing w:before="50" w:after="50"/>
              <w:jc w:val="center"/>
            </w:pPr>
            <w:r>
              <w:rPr>
                <w:rFonts w:ascii="Arial" w:cs="Arial" w:eastAsia="Arial" w:hAnsi="Arial"/>
                <w:b/>
                <w:bCs/>
                <w:color w:val="0D1B2A"/>
                <w:sz w:val="26"/>
                <w:szCs w:val="26"/>
              </w:rPr>
              <w:t xml:space="preserve">The risk isn't investing. The risk is not investing.</w:t>
            </w:r>
          </w:p>
          <w:p>
            <w:pPr>
              <w:spacing w:before="50" w:after="50"/>
              <w:jc w:val="center"/>
            </w:pPr>
            <w:r>
              <w:rPr>
                <w:rFonts w:ascii="Arial" w:cs="Arial" w:eastAsia="Arial" w:hAnsi="Arial"/>
                <w:b w:val="false"/>
                <w:bCs w:val="false"/>
                <w:color w:val="0D1B2A"/>
                <w:sz w:val="22"/>
                <w:szCs w:val="22"/>
              </w:rPr>
              <w:t xml:space="preserve">By Sunday evening, you'll have a funded portfolio, automatic contributions running, and nothing left to do — because the system runs itself.</w:t>
            </w:r>
          </w:p>
        </w:tc>
      </w:tr>
    </w:tbl>
    <w:p>
      <w:pPr>
        <w:spacing w:before="200" w:after="0"/>
      </w:pPr>
    </w:p>
    <w:p>
      <w:pPr>
        <w:spacing w:before="60" w:after="60"/>
        <w:jc w:val="center"/>
      </w:pPr>
      <w:r>
        <w:rPr>
          <w:rFonts w:ascii="Arial" w:cs="Arial" w:eastAsia="Arial" w:hAnsi="Arial"/>
          <w:color w:val="1F2937"/>
          <w:sz w:val="22"/>
          <w:szCs w:val="22"/>
        </w:rPr>
        <w:t xml:space="preserve">Cash in Blue LLC  |  Thomas Perdana  |  thomas.perdana@cashinblue.com</w:t>
      </w:r>
    </w:p>
    <w:p>
      <w:r>
        <w:br w:type="page"/>
      </w:r>
    </w:p>
    <w:p>
      <w:pPr>
        <w:pStyle w:val="Heading1"/>
        <w:spacing w:before="240" w:after="120"/>
      </w:pPr>
      <w:r>
        <w:rPr>
          <w:rFonts w:ascii="Arial" w:cs="Arial" w:eastAsia="Arial" w:hAnsi="Arial"/>
          <w:b/>
          <w:bCs/>
          <w:color w:val="0D1B2A"/>
          <w:sz w:val="36"/>
          <w:szCs w:val="36"/>
        </w:rPr>
        <w:t xml:space="preserve">The Real Cost of Waiting</w:t>
      </w:r>
    </w:p>
    <w:p>
      <w:pPr>
        <w:pBdr>
          <w:bottom w:val="single" w:color="1B7F79" w:sz="8" w:space="1"/>
        </w:pBdr>
        <w:spacing w:before="120" w:after="120"/>
      </w:pPr>
    </w:p>
    <w:p>
      <w:pPr>
        <w:spacing w:before="60" w:after="60"/>
        <w:jc w:val="both"/>
      </w:pPr>
      <w:r>
        <w:rPr>
          <w:rFonts w:ascii="Arial" w:cs="Arial" w:eastAsia="Arial" w:hAnsi="Arial"/>
          <w:color w:val="1F2937"/>
          <w:sz w:val="22"/>
          <w:szCs w:val="22"/>
        </w:rPr>
        <w:t xml:space="preserve">You have money sitting in a savings account. It feels responsible. It feels safe. It's earning 0.5% — maybe 4–5% if you're in a high-yield savings account — and you've been meaning to 'do something with it' for a year or two.</w:t>
      </w:r>
    </w:p>
    <w:p>
      <w:pPr>
        <w:spacing w:before="60" w:after="0"/>
      </w:pPr>
    </w:p>
    <w:p>
      <w:pPr>
        <w:spacing w:before="60" w:after="60"/>
        <w:jc w:val="both"/>
      </w:pPr>
      <w:r>
        <w:rPr>
          <w:rFonts w:ascii="Arial" w:cs="Arial" w:eastAsia="Arial" w:hAnsi="Arial"/>
          <w:b/>
          <w:bCs/>
          <w:color w:val="1F2937"/>
          <w:sz w:val="22"/>
          <w:szCs w:val="22"/>
        </w:rPr>
        <w:t xml:space="preserve">Here's what's actually happening while you wait: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Starting Amount</w:t>
            </w:r>
          </w:p>
        </w:tc>
        <w:tc>
          <w:tcPr>
            <w:tcW w:type="dxa" w:w="376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8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20-Year Result</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$50,000</w:t>
            </w:r>
          </w:p>
        </w:tc>
        <w:tc>
          <w:tcPr>
            <w:tcW w:type="dxa" w:w="37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0.5% (typical savings)</w:t>
            </w:r>
          </w:p>
        </w:tc>
        <w:tc>
          <w:tcPr>
            <w:tcW w:type="dxa" w:w="2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$55,254</w:t>
            </w:r>
          </w:p>
        </w:tc>
      </w:tr>
      <w:tr>
        <w:tc>
          <w:tcPr>
            <w:tcW w:type="dxa" w:w="28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$50,000</w:t>
            </w:r>
          </w:p>
        </w:tc>
        <w:tc>
          <w:tcPr>
            <w:tcW w:type="dxa" w:w="37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4.5% (high-yield savings)</w:t>
            </w:r>
          </w:p>
        </w:tc>
        <w:tc>
          <w:tcPr>
            <w:tcW w:type="dxa" w:w="28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$120,978</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$50,000</w:t>
            </w:r>
          </w:p>
        </w:tc>
        <w:tc>
          <w:tcPr>
            <w:tcW w:type="dxa" w:w="37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7% (diversified index portfolio)</w:t>
            </w:r>
          </w:p>
        </w:tc>
        <w:tc>
          <w:tcPr>
            <w:tcW w:type="dxa" w:w="2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$193,484</w:t>
            </w:r>
          </w:p>
        </w:tc>
      </w:tr>
      <w:tr>
        <w:tc>
          <w:tcPr>
            <w:tcW w:type="dxa" w:w="28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$50,000</w:t>
            </w:r>
          </w:p>
        </w:tc>
        <w:tc>
          <w:tcPr>
            <w:tcW w:type="dxa" w:w="37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10% (S&amp;P 500 historical avg)</w:t>
            </w:r>
          </w:p>
        </w:tc>
        <w:tc>
          <w:tcPr>
            <w:tcW w:type="dxa" w:w="28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$336,375</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8E7" w:val="clear"/>
            <w:tcMar>
              <w:top w:type="dxa" w:w="160"/>
              <w:left w:type="dxa" w:w="240"/>
              <w:bottom w:type="dxa" w:w="160"/>
              <w:right w:type="dxa" w:w="240"/>
            </w:tcMar>
          </w:tcPr>
          <w:p>
            <w:pPr>
              <w:spacing w:before="50" w:after="50"/>
              <w:jc w:val="center"/>
            </w:pPr>
            <w:r>
              <w:rPr>
                <w:rFonts w:ascii="Arial" w:cs="Arial" w:eastAsia="Arial" w:hAnsi="Arial"/>
                <w:b/>
                <w:bCs/>
                <w:color w:val="0D1B2A"/>
                <w:sz w:val="22"/>
                <w:szCs w:val="22"/>
              </w:rPr>
              <w:t xml:space="preserve">The gap between savings and the index portfolio is $138,000 of wealth you didn't build —</w:t>
            </w:r>
          </w:p>
          <w:p>
            <w:pPr>
              <w:spacing w:before="50" w:after="50"/>
              <w:jc w:val="center"/>
            </w:pPr>
            <w:r>
              <w:rPr>
                <w:rFonts w:ascii="Arial" w:cs="Arial" w:eastAsia="Arial" w:hAnsi="Arial"/>
                <w:b w:val="false"/>
                <w:bCs w:val="false"/>
                <w:color w:val="0D1B2A"/>
                <w:sz w:val="22"/>
                <w:szCs w:val="22"/>
              </w:rPr>
              <w:t xml:space="preserve">on the same $50,000, with no additional contributions. That's the cost of waiting.</w:t>
            </w:r>
          </w:p>
          <w:p>
            <w:pPr>
              <w:spacing w:before="50" w:after="50"/>
              <w:jc w:val="center"/>
            </w:pPr>
            <w:r>
              <w:rPr>
                <w:rFonts w:ascii="Arial" w:cs="Arial" w:eastAsia="Arial" w:hAnsi="Arial"/>
                <w:b w:val="false"/>
                <w:bCs w:val="false"/>
                <w:color w:val="0D1B2A"/>
                <w:sz w:val="20"/>
                <w:szCs w:val="20"/>
              </w:rPr>
              <w:t xml:space="preserve">At 3% annual inflation, your $50,000 in a 0.5% savings account has the purchasing power of $27,600 in 20 years.</w:t>
            </w:r>
          </w:p>
        </w:tc>
      </w:tr>
    </w:tbl>
    <w:p>
      <w:r>
        <w:br w:type="page"/>
      </w:r>
    </w:p>
    <w:p>
      <w:pPr>
        <w:pStyle w:val="Heading1"/>
        <w:spacing w:before="240" w:after="120"/>
      </w:pPr>
      <w:r>
        <w:rPr>
          <w:rFonts w:ascii="Arial" w:cs="Arial" w:eastAsia="Arial" w:hAnsi="Arial"/>
          <w:b/>
          <w:bCs/>
          <w:color w:val="0D1B2A"/>
          <w:sz w:val="36"/>
          <w:szCs w:val="36"/>
        </w:rPr>
        <w:t xml:space="preserve">Why Index Funds Win: The Case Is Closed</w:t>
      </w:r>
    </w:p>
    <w:p>
      <w:pPr>
        <w:pBdr>
          <w:bottom w:val="single" w:color="1B7F79" w:sz="8"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WHY</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Buffett Bet</w:t>
            </w:r>
          </w:p>
          <w:p>
            <w:pPr>
              <w:spacing w:before="40" w:after="0"/>
            </w:pPr>
            <w:r>
              <w:rPr>
                <w:rFonts w:ascii="Arial" w:cs="Arial" w:eastAsia="Arial" w:hAnsi="Arial"/>
                <w:color w:val="1F2937"/>
                <w:sz w:val="20"/>
                <w:szCs w:val="20"/>
              </w:rPr>
              <w:t xml:space="preserve">In 2007, Warren Buffett bet $1 million that a simple S&amp;P 500 index fund would outperform a collection of hedge funds over 10 years. By 2017, the index fund returned 7.1% annually. The hedge funds averaged 2.2%. The world's best active managers lost to a fund that just bought everything and did nothing.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WHY</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Expense Ratio Math</w:t>
            </w:r>
          </w:p>
          <w:p>
            <w:pPr>
              <w:spacing w:before="40" w:after="0"/>
            </w:pPr>
            <w:r>
              <w:rPr>
                <w:rFonts w:ascii="Arial" w:cs="Arial" w:eastAsia="Arial" w:hAnsi="Arial"/>
                <w:color w:val="1F2937"/>
                <w:sz w:val="20"/>
                <w:szCs w:val="20"/>
              </w:rPr>
              <w:t xml:space="preserve">An actively managed mutual fund charges 0.5–1.5% in annual fees. An index fund charges 0.03–0.10%. On a $100,000 portfolio over 20 years at 7% return: Index fund (0.04% fee) = ~$385,000. Active fund (1.0% fee) = ~$320,000. Difference: $65,000 — paid to a fund manager who statistically underperforms the index.</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WHY</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Performance Data</w:t>
            </w:r>
          </w:p>
          <w:p>
            <w:pPr>
              <w:spacing w:before="40" w:after="0"/>
            </w:pPr>
            <w:r>
              <w:rPr>
                <w:rFonts w:ascii="Arial" w:cs="Arial" w:eastAsia="Arial" w:hAnsi="Arial"/>
                <w:color w:val="1F2937"/>
                <w:sz w:val="20"/>
                <w:szCs w:val="20"/>
              </w:rPr>
              <w:t xml:space="preserve">Over any 15-year period, approximately 88–92% of actively managed large-cap funds underperform their benchmark index. Not because fund managers are bad at their jobs — because markets are efficient, information is priced in quickly, and after fees, almost no one can consistently beat the market.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WHY</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S&amp;P 500 Historical Return</w:t>
            </w:r>
          </w:p>
          <w:p>
            <w:pPr>
              <w:spacing w:before="40" w:after="0"/>
            </w:pPr>
            <w:r>
              <w:rPr>
                <w:rFonts w:ascii="Arial" w:cs="Arial" w:eastAsia="Arial" w:hAnsi="Arial"/>
                <w:color w:val="1F2937"/>
                <w:sz w:val="20"/>
                <w:szCs w:val="20"/>
              </w:rPr>
              <w:t xml:space="preserve">The S&amp;P 500 has returned approximately 10% annually (nominal) and 7% annually (inflation-adjusted) over the past 100 years — including every crash: 1929, 1987, 2000, 2008, 2020. The long-term average holds. You don't need to time the market. You need to own the market and stay in it long enough for compounding to work.</w:t>
            </w:r>
          </w:p>
        </w:tc>
      </w:tr>
    </w:tbl>
    <w:p>
      <w:pPr>
        <w:spacing w:before="60" w:after="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1A7A4A" w:sz="6"/>
              <w:right w:val="single" w:color="1A7A4A" w:sz="6"/>
            </w:tcBorders>
            <w:shd w:fill="F0FFF4" w:val="clear"/>
            <w:tcMar>
              <w:top w:type="dxa" w:w="160"/>
              <w:left w:type="dxa" w:w="240"/>
              <w:bottom w:type="dxa" w:w="160"/>
              <w:right w:type="dxa" w:w="240"/>
            </w:tcMar>
          </w:tcPr>
          <w:p>
            <w:pPr>
              <w:spacing w:before="50" w:after="50"/>
              <w:jc w:val="center"/>
            </w:pPr>
            <w:r>
              <w:rPr>
                <w:rFonts w:ascii="Arial" w:cs="Arial" w:eastAsia="Arial" w:hAnsi="Arial"/>
                <w:b/>
                <w:bCs/>
                <w:color w:val="0D1B2A"/>
                <w:sz w:val="24"/>
                <w:szCs w:val="24"/>
              </w:rPr>
              <w:t xml:space="preserve">Own the whole market. Pay the lowest possible fee. Hold forever.</w:t>
            </w:r>
          </w:p>
          <w:p>
            <w:pPr>
              <w:spacing w:before="50" w:after="50"/>
              <w:jc w:val="center"/>
            </w:pPr>
            <w:r>
              <w:rPr>
                <w:rFonts w:ascii="Arial" w:cs="Arial" w:eastAsia="Arial" w:hAnsi="Arial"/>
                <w:b w:val="false"/>
                <w:bCs w:val="false"/>
                <w:color w:val="0D1B2A"/>
                <w:sz w:val="22"/>
                <w:szCs w:val="22"/>
              </w:rPr>
              <w:t xml:space="preserve">Everything else is noise.</w:t>
            </w:r>
          </w:p>
        </w:tc>
      </w:tr>
    </w:tbl>
    <w:p>
      <w:r>
        <w:br w:type="page"/>
      </w:r>
    </w:p>
    <w:p>
      <w:pPr>
        <w:pStyle w:val="Heading1"/>
        <w:spacing w:before="240" w:after="120"/>
      </w:pPr>
      <w:r>
        <w:rPr>
          <w:rFonts w:ascii="Arial" w:cs="Arial" w:eastAsia="Arial" w:hAnsi="Arial"/>
          <w:b/>
          <w:bCs/>
          <w:color w:val="0D1B2A"/>
          <w:sz w:val="36"/>
          <w:szCs w:val="36"/>
        </w:rPr>
        <w:t xml:space="preserve">Choosing Your Brokerage</w:t>
      </w:r>
    </w:p>
    <w:p>
      <w:pPr>
        <w:pBdr>
          <w:bottom w:val="single" w:color="1B7F79" w:sz="8" w:space="1"/>
        </w:pBdr>
        <w:spacing w:before="120" w:after="120"/>
      </w:pPr>
    </w:p>
    <w:p>
      <w:pPr>
        <w:spacing w:before="60" w:after="60"/>
        <w:jc w:val="both"/>
      </w:pPr>
      <w:r>
        <w:rPr>
          <w:rFonts w:ascii="Arial" w:cs="Arial" w:eastAsia="Arial" w:hAnsi="Arial"/>
          <w:color w:val="1F2937"/>
          <w:sz w:val="22"/>
          <w:szCs w:val="22"/>
        </w:rPr>
        <w:t xml:space="preserve">All three major brokerages are excellent. None charges commissions on trades. None has account minimums for most accounts. The differences are subtle but real.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7F79" w:val="clear"/>
            <w:tcMar>
              <w:top w:type="dxa" w:w="120"/>
              <w:left w:type="dxa" w:w="160"/>
              <w:bottom w:type="dxa" w:w="120"/>
              <w:right w:type="dxa" w:w="120"/>
            </w:tcMar>
            <w:vAlign w:val="center"/>
          </w:tcPr>
          <w:p>
            <w:pPr>
              <w:jc w:val="center"/>
            </w:pPr>
            <w:r>
              <w:rPr>
                <w:rFonts w:ascii="Arial" w:cs="Arial" w:eastAsia="Arial" w:hAnsi="Arial"/>
                <w:b/>
                <w:bCs/>
                <w:color w:val="FFFFFF"/>
                <w:sz w:val="24"/>
                <w:szCs w:val="24"/>
              </w:rPr>
              <w:t xml:space="preserve">Fidelity</w:t>
            </w:r>
          </w:p>
          <w:p>
            <w:pPr>
              <w:jc w:val="center"/>
            </w:pPr>
            <w:r>
              <w:rPr>
                <w:rFonts w:ascii="Arial" w:cs="Arial" w:eastAsia="Arial" w:hAnsi="Arial"/>
                <w:color w:val="FFFFCC"/>
                <w:sz w:val="18"/>
                <w:szCs w:val="18"/>
              </w:rPr>
              <w:t xml:space="preserve">Best Overall</w:t>
            </w:r>
          </w:p>
        </w:tc>
        <w:tc>
          <w:tcPr>
            <w:tcW w:type="dxa" w:w="7160"/>
            <w:tcBorders>
              <w:top w:val="none" w:color="FFFFFF" w:sz="0"/>
              <w:left w:val="none" w:color="FFFFFF" w:sz="0"/>
              <w:bottom w:val="none" w:color="FFFFFF" w:sz="0"/>
              <w:right w:val="none" w:color="FFFFFF" w:sz="0"/>
            </w:tcBorders>
            <w:shd w:fill="1B7F79" w:val="clear"/>
            <w:tcMar>
              <w:top w:type="dxa" w:w="120"/>
              <w:left w:type="dxa" w:w="160"/>
              <w:bottom w:type="dxa" w:w="120"/>
              <w:right w:type="dxa" w:w="160"/>
            </w:tcMar>
            <w:vAlign w:val="center"/>
          </w:tcPr>
          <w:p>
            <w:r>
              <w:rPr>
                <w:rFonts w:ascii="Arial" w:cs="Arial" w:eastAsia="Arial" w:hAnsi="Arial"/>
                <w:b/>
                <w:bCs/>
                <w:color w:val="FFFFFF"/>
                <w:sz w:val="20"/>
                <w:szCs w:val="20"/>
              </w:rPr>
              <w:t xml:space="preserve">Best for most beginners — ZERO expense ratio funds, fractional shares, excellent app</w:t>
            </w:r>
          </w:p>
        </w:tc>
      </w:tr>
      <w:tr>
        <w:tc>
          <w:tcPr>
            <w:tcW w:type="dxa" w:w="9360"/>
            <w:gridSpan w:val="2"/>
            <w:tcBorders>
              <w:top w:val="single" w:color="E5E7EB" w:sz="6"/>
              <w:left w:val="single" w:color="E5E7EB" w:sz="6"/>
              <w:bottom w:val="single" w:color="E5E7EB" w:sz="6"/>
              <w:right w:val="single" w:color="E5E7EB" w:sz="6"/>
            </w:tcBorders>
            <w:shd w:fill="F4F7FA" w:val="clear"/>
            <w:tcMar>
              <w:top w:type="dxa" w:w="100"/>
              <w:left w:type="dxa" w:w="200"/>
              <w:bottom w:type="dxa" w:w="100"/>
              <w:right w:type="dxa" w:w="200"/>
            </w:tcMar>
          </w:tcPr>
          <w:p>
            <w:pPr>
              <w:pStyle w:val="ListParagraph"/>
              <w:numPr>
                <w:ilvl w:val="0"/>
                <w:numId w:val="2"/>
              </w:numPr>
              <w:spacing w:before="30" w:after="30"/>
            </w:pPr>
            <w:r>
              <w:rPr>
                <w:rFonts w:ascii="Arial" w:cs="Arial" w:eastAsia="Arial" w:hAnsi="Arial"/>
                <w:color w:val="1F2937"/>
                <w:sz w:val="20"/>
                <w:szCs w:val="20"/>
              </w:rPr>
              <w:t xml:space="preserve">ZERO expense ratio funds (FZROX, FZILX) — literally 0.00% fees, exclusive to Fidelity</w:t>
            </w:r>
          </w:p>
          <w:p>
            <w:pPr>
              <w:pStyle w:val="ListParagraph"/>
              <w:numPr>
                <w:ilvl w:val="0"/>
                <w:numId w:val="2"/>
              </w:numPr>
              <w:spacing w:before="30" w:after="30"/>
            </w:pPr>
            <w:r>
              <w:rPr>
                <w:rFonts w:ascii="Arial" w:cs="Arial" w:eastAsia="Arial" w:hAnsi="Arial"/>
                <w:color w:val="1F2937"/>
                <w:sz w:val="20"/>
                <w:szCs w:val="20"/>
              </w:rPr>
              <w:t xml:space="preserve">Excellent mobile app and interface</w:t>
            </w:r>
          </w:p>
          <w:p>
            <w:pPr>
              <w:pStyle w:val="ListParagraph"/>
              <w:numPr>
                <w:ilvl w:val="0"/>
                <w:numId w:val="2"/>
              </w:numPr>
              <w:spacing w:before="30" w:after="30"/>
            </w:pPr>
            <w:r>
              <w:rPr>
                <w:rFonts w:ascii="Arial" w:cs="Arial" w:eastAsia="Arial" w:hAnsi="Arial"/>
                <w:color w:val="1F2937"/>
                <w:sz w:val="20"/>
                <w:szCs w:val="20"/>
              </w:rPr>
              <w:t xml:space="preserve">Fractional shares on all stocks and ETFs — invest any dollar amount</w:t>
            </w:r>
          </w:p>
          <w:p>
            <w:pPr>
              <w:pStyle w:val="ListParagraph"/>
              <w:numPr>
                <w:ilvl w:val="0"/>
                <w:numId w:val="2"/>
              </w:numPr>
              <w:spacing w:before="30" w:after="30"/>
            </w:pPr>
            <w:r>
              <w:rPr>
                <w:rFonts w:ascii="Arial" w:cs="Arial" w:eastAsia="Arial" w:hAnsi="Arial"/>
                <w:color w:val="1F2937"/>
                <w:sz w:val="20"/>
                <w:szCs w:val="20"/>
              </w:rPr>
              <w:t xml:space="preserve">Excellent customer service and instant purchasing power</w:t>
            </w:r>
          </w:p>
          <w:p>
            <w:pPr>
              <w:spacing w:before="60" w:after="0"/>
            </w:pPr>
            <w:r>
              <w:rPr>
                <w:rFonts w:ascii="Arial" w:cs="Arial" w:eastAsia="Arial" w:hAnsi="Arial"/>
                <w:b/>
                <w:bCs/>
                <w:color w:val="1B7F79"/>
                <w:sz w:val="20"/>
                <w:szCs w:val="20"/>
              </w:rPr>
              <w:t xml:space="preserve">Verdict: </w:t>
            </w:r>
            <w:r>
              <w:rPr>
                <w:rFonts w:ascii="Arial" w:cs="Arial" w:eastAsia="Arial" w:hAnsi="Arial"/>
                <w:b/>
                <w:bCs/>
                <w:color w:val="0D1B2A"/>
                <w:sz w:val="20"/>
                <w:szCs w:val="20"/>
              </w:rPr>
              <w:t xml:space="preserve">Start here if you're opening your first account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6D28D9" w:val="clear"/>
            <w:tcMar>
              <w:top w:type="dxa" w:w="120"/>
              <w:left w:type="dxa" w:w="160"/>
              <w:bottom w:type="dxa" w:w="120"/>
              <w:right w:type="dxa" w:w="120"/>
            </w:tcMar>
            <w:vAlign w:val="center"/>
          </w:tcPr>
          <w:p>
            <w:pPr>
              <w:jc w:val="center"/>
            </w:pPr>
            <w:r>
              <w:rPr>
                <w:rFonts w:ascii="Arial" w:cs="Arial" w:eastAsia="Arial" w:hAnsi="Arial"/>
                <w:b/>
                <w:bCs/>
                <w:color w:val="FFFFFF"/>
                <w:sz w:val="24"/>
                <w:szCs w:val="24"/>
              </w:rPr>
              <w:t xml:space="preserve">Vanguard</w:t>
            </w:r>
          </w:p>
          <w:p>
            <w:pPr>
              <w:jc w:val="center"/>
            </w:pPr>
            <w:r>
              <w:rPr>
                <w:rFonts w:ascii="Arial" w:cs="Arial" w:eastAsia="Arial" w:hAnsi="Arial"/>
                <w:color w:val="FFFFCC"/>
                <w:sz w:val="18"/>
                <w:szCs w:val="18"/>
              </w:rPr>
              <w:t xml:space="preserve">ETF Purists</w:t>
            </w:r>
          </w:p>
        </w:tc>
        <w:tc>
          <w:tcPr>
            <w:tcW w:type="dxa" w:w="7160"/>
            <w:tcBorders>
              <w:top w:val="none" w:color="FFFFFF" w:sz="0"/>
              <w:left w:val="none" w:color="FFFFFF" w:sz="0"/>
              <w:bottom w:val="none" w:color="FFFFFF" w:sz="0"/>
              <w:right w:val="none" w:color="FFFFFF" w:sz="0"/>
            </w:tcBorders>
            <w:shd w:fill="6D28D9" w:val="clear"/>
            <w:tcMar>
              <w:top w:type="dxa" w:w="120"/>
              <w:left w:type="dxa" w:w="160"/>
              <w:bottom w:type="dxa" w:w="120"/>
              <w:right w:type="dxa" w:w="160"/>
            </w:tcMar>
            <w:vAlign w:val="center"/>
          </w:tcPr>
          <w:p>
            <w:r>
              <w:rPr>
                <w:rFonts w:ascii="Arial" w:cs="Arial" w:eastAsia="Arial" w:hAnsi="Arial"/>
                <w:b/>
                <w:bCs/>
                <w:color w:val="FFFFFF"/>
                <w:sz w:val="20"/>
                <w:szCs w:val="20"/>
              </w:rPr>
              <w:t xml:space="preserve">Invented the index fund — VTI, VXUS, BND are the gold standard ETFs worldwide</w:t>
            </w:r>
          </w:p>
        </w:tc>
      </w:tr>
      <w:tr>
        <w:tc>
          <w:tcPr>
            <w:tcW w:type="dxa" w:w="9360"/>
            <w:gridSpan w:val="2"/>
            <w:tcBorders>
              <w:top w:val="single" w:color="E5E7EB" w:sz="6"/>
              <w:left w:val="single" w:color="E5E7EB" w:sz="6"/>
              <w:bottom w:val="single" w:color="E5E7EB" w:sz="6"/>
              <w:right w:val="single" w:color="E5E7EB" w:sz="6"/>
            </w:tcBorders>
            <w:shd w:fill="F4F7FA" w:val="clear"/>
            <w:tcMar>
              <w:top w:type="dxa" w:w="100"/>
              <w:left w:type="dxa" w:w="200"/>
              <w:bottom w:type="dxa" w:w="100"/>
              <w:right w:type="dxa" w:w="200"/>
            </w:tcMar>
          </w:tcPr>
          <w:p>
            <w:pPr>
              <w:pStyle w:val="ListParagraph"/>
              <w:numPr>
                <w:ilvl w:val="0"/>
                <w:numId w:val="2"/>
              </w:numPr>
              <w:spacing w:before="30" w:after="30"/>
            </w:pPr>
            <w:r>
              <w:rPr>
                <w:rFonts w:ascii="Arial" w:cs="Arial" w:eastAsia="Arial" w:hAnsi="Arial"/>
                <w:color w:val="1F2937"/>
                <w:sz w:val="20"/>
                <w:szCs w:val="20"/>
              </w:rPr>
              <w:t xml:space="preserve">Customer-owned structure — no outside shareholders, which keeps fees low permanently</w:t>
            </w:r>
          </w:p>
          <w:p>
            <w:pPr>
              <w:pStyle w:val="ListParagraph"/>
              <w:numPr>
                <w:ilvl w:val="0"/>
                <w:numId w:val="2"/>
              </w:numPr>
              <w:spacing w:before="30" w:after="30"/>
            </w:pPr>
            <w:r>
              <w:rPr>
                <w:rFonts w:ascii="Arial" w:cs="Arial" w:eastAsia="Arial" w:hAnsi="Arial"/>
                <w:color w:val="1F2937"/>
                <w:sz w:val="20"/>
                <w:szCs w:val="20"/>
              </w:rPr>
              <w:t xml:space="preserve">VTI, VXUS, BND are the gold standard ETFs used by serious investors worldwide</w:t>
            </w:r>
          </w:p>
          <w:p>
            <w:pPr>
              <w:pStyle w:val="ListParagraph"/>
              <w:numPr>
                <w:ilvl w:val="0"/>
                <w:numId w:val="2"/>
              </w:numPr>
              <w:spacing w:before="30" w:after="30"/>
            </w:pPr>
            <w:r>
              <w:rPr>
                <w:rFonts w:ascii="Arial" w:cs="Arial" w:eastAsia="Arial" w:hAnsi="Arial"/>
                <w:color w:val="1F2937"/>
                <w:sz w:val="20"/>
                <w:szCs w:val="20"/>
              </w:rPr>
              <w:t xml:space="preserve">Founded by John Bogle, the inventor of the index fund</w:t>
            </w:r>
          </w:p>
          <w:p>
            <w:pPr>
              <w:spacing w:before="60" w:after="0"/>
            </w:pPr>
            <w:r>
              <w:rPr>
                <w:rFonts w:ascii="Arial" w:cs="Arial" w:eastAsia="Arial" w:hAnsi="Arial"/>
                <w:b/>
                <w:bCs/>
                <w:color w:val="6D28D9"/>
                <w:sz w:val="20"/>
                <w:szCs w:val="20"/>
              </w:rPr>
              <w:t xml:space="preserve">Verdict: </w:t>
            </w:r>
            <w:r>
              <w:rPr>
                <w:rFonts w:ascii="Arial" w:cs="Arial" w:eastAsia="Arial" w:hAnsi="Arial"/>
                <w:b/>
                <w:bCs/>
                <w:color w:val="0D1B2A"/>
                <w:sz w:val="20"/>
                <w:szCs w:val="20"/>
              </w:rPr>
              <w:t xml:space="preserve">Excellent choice, especially if you're buying VTI/VXUS/BND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B45309" w:val="clear"/>
            <w:tcMar>
              <w:top w:type="dxa" w:w="120"/>
              <w:left w:type="dxa" w:w="160"/>
              <w:bottom w:type="dxa" w:w="120"/>
              <w:right w:type="dxa" w:w="120"/>
            </w:tcMar>
            <w:vAlign w:val="center"/>
          </w:tcPr>
          <w:p>
            <w:pPr>
              <w:jc w:val="center"/>
            </w:pPr>
            <w:r>
              <w:rPr>
                <w:rFonts w:ascii="Arial" w:cs="Arial" w:eastAsia="Arial" w:hAnsi="Arial"/>
                <w:b/>
                <w:bCs/>
                <w:color w:val="FFFFFF"/>
                <w:sz w:val="24"/>
                <w:szCs w:val="24"/>
              </w:rPr>
              <w:t xml:space="preserve">Schwab</w:t>
            </w:r>
          </w:p>
          <w:p>
            <w:pPr>
              <w:jc w:val="center"/>
            </w:pPr>
            <w:r>
              <w:rPr>
                <w:rFonts w:ascii="Arial" w:cs="Arial" w:eastAsia="Arial" w:hAnsi="Arial"/>
                <w:color w:val="FFFFCC"/>
                <w:sz w:val="18"/>
                <w:szCs w:val="18"/>
              </w:rPr>
              <w:t xml:space="preserve">Banking + Investing</w:t>
            </w:r>
          </w:p>
        </w:tc>
        <w:tc>
          <w:tcPr>
            <w:tcW w:type="dxa" w:w="7160"/>
            <w:tcBorders>
              <w:top w:val="none" w:color="FFFFFF" w:sz="0"/>
              <w:left w:val="none" w:color="FFFFFF" w:sz="0"/>
              <w:bottom w:val="none" w:color="FFFFFF" w:sz="0"/>
              <w:right w:val="none" w:color="FFFFFF" w:sz="0"/>
            </w:tcBorders>
            <w:shd w:fill="B45309" w:val="clear"/>
            <w:tcMar>
              <w:top w:type="dxa" w:w="120"/>
              <w:left w:type="dxa" w:w="160"/>
              <w:bottom w:type="dxa" w:w="120"/>
              <w:right w:type="dxa" w:w="160"/>
            </w:tcMar>
            <w:vAlign w:val="center"/>
          </w:tcPr>
          <w:p>
            <w:r>
              <w:rPr>
                <w:rFonts w:ascii="Arial" w:cs="Arial" w:eastAsia="Arial" w:hAnsi="Arial"/>
                <w:b/>
                <w:bCs/>
                <w:color w:val="FFFFFF"/>
                <w:sz w:val="20"/>
                <w:szCs w:val="20"/>
              </w:rPr>
              <w:t xml:space="preserve">Best for banking integration — checking account with worldwide ATM reimbursement</w:t>
            </w:r>
          </w:p>
        </w:tc>
      </w:tr>
      <w:tr>
        <w:tc>
          <w:tcPr>
            <w:tcW w:type="dxa" w:w="9360"/>
            <w:gridSpan w:val="2"/>
            <w:tcBorders>
              <w:top w:val="single" w:color="E5E7EB" w:sz="6"/>
              <w:left w:val="single" w:color="E5E7EB" w:sz="6"/>
              <w:bottom w:val="single" w:color="E5E7EB" w:sz="6"/>
              <w:right w:val="single" w:color="E5E7EB" w:sz="6"/>
            </w:tcBorders>
            <w:shd w:fill="F4F7FA" w:val="clear"/>
            <w:tcMar>
              <w:top w:type="dxa" w:w="100"/>
              <w:left w:type="dxa" w:w="200"/>
              <w:bottom w:type="dxa" w:w="100"/>
              <w:right w:type="dxa" w:w="200"/>
            </w:tcMar>
          </w:tcPr>
          <w:p>
            <w:pPr>
              <w:pStyle w:val="ListParagraph"/>
              <w:numPr>
                <w:ilvl w:val="0"/>
                <w:numId w:val="2"/>
              </w:numPr>
              <w:spacing w:before="30" w:after="30"/>
            </w:pPr>
            <w:r>
              <w:rPr>
                <w:rFonts w:ascii="Arial" w:cs="Arial" w:eastAsia="Arial" w:hAnsi="Arial"/>
                <w:color w:val="1F2937"/>
                <w:sz w:val="20"/>
                <w:szCs w:val="20"/>
              </w:rPr>
              <w:t xml:space="preserve">Excellent checking account with ATM fee reimbursement worldwide</w:t>
            </w:r>
          </w:p>
          <w:p>
            <w:pPr>
              <w:pStyle w:val="ListParagraph"/>
              <w:numPr>
                <w:ilvl w:val="0"/>
                <w:numId w:val="2"/>
              </w:numPr>
              <w:spacing w:before="30" w:after="30"/>
            </w:pPr>
            <w:r>
              <w:rPr>
                <w:rFonts w:ascii="Arial" w:cs="Arial" w:eastAsia="Arial" w:hAnsi="Arial"/>
                <w:color w:val="1F2937"/>
                <w:sz w:val="20"/>
                <w:szCs w:val="20"/>
              </w:rPr>
              <w:t xml:space="preserve">Strong index fund lineup (SWTSX, SWISX, SWAGX)</w:t>
            </w:r>
          </w:p>
          <w:p>
            <w:pPr>
              <w:pStyle w:val="ListParagraph"/>
              <w:numPr>
                <w:ilvl w:val="0"/>
                <w:numId w:val="2"/>
              </w:numPr>
              <w:spacing w:before="30" w:after="30"/>
            </w:pPr>
            <w:r>
              <w:rPr>
                <w:rFonts w:ascii="Arial" w:cs="Arial" w:eastAsia="Arial" w:hAnsi="Arial"/>
                <w:color w:val="1F2937"/>
                <w:sz w:val="20"/>
                <w:szCs w:val="20"/>
              </w:rPr>
              <w:t xml:space="preserve">Good mobile app and overall interface</w:t>
            </w:r>
          </w:p>
          <w:p>
            <w:pPr>
              <w:spacing w:before="60" w:after="0"/>
            </w:pPr>
            <w:r>
              <w:rPr>
                <w:rFonts w:ascii="Arial" w:cs="Arial" w:eastAsia="Arial" w:hAnsi="Arial"/>
                <w:b/>
                <w:bCs/>
                <w:color w:val="B45309"/>
                <w:sz w:val="20"/>
                <w:szCs w:val="20"/>
              </w:rPr>
              <w:t xml:space="preserve">Verdict: </w:t>
            </w:r>
            <w:r>
              <w:rPr>
                <w:rFonts w:ascii="Arial" w:cs="Arial" w:eastAsia="Arial" w:hAnsi="Arial"/>
                <w:b/>
                <w:bCs/>
                <w:color w:val="0D1B2A"/>
                <w:sz w:val="20"/>
                <w:szCs w:val="20"/>
              </w:rPr>
              <w:t xml:space="preserve">Great if you want one financial institution for everything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7A4A" w:val="clear"/>
            <w:tcMar>
              <w:top w:type="dxa" w:w="120"/>
              <w:left w:type="dxa" w:w="160"/>
              <w:bottom w:type="dxa" w:w="120"/>
              <w:right w:type="dxa" w:w="120"/>
            </w:tcMar>
            <w:vAlign w:val="center"/>
          </w:tcPr>
          <w:p>
            <w:pPr>
              <w:jc w:val="center"/>
            </w:pPr>
            <w:r>
              <w:rPr>
                <w:rFonts w:ascii="Arial" w:cs="Arial" w:eastAsia="Arial" w:hAnsi="Arial"/>
                <w:b/>
                <w:bCs/>
                <w:color w:val="FFFFFF"/>
                <w:sz w:val="24"/>
                <w:szCs w:val="24"/>
              </w:rPr>
              <w:t xml:space="preserve">M1 Finance</w:t>
            </w:r>
          </w:p>
          <w:p>
            <w:pPr>
              <w:jc w:val="center"/>
            </w:pPr>
            <w:r>
              <w:rPr>
                <w:rFonts w:ascii="Arial" w:cs="Arial" w:eastAsia="Arial" w:hAnsi="Arial"/>
                <w:color w:val="FFFFCC"/>
                <w:sz w:val="18"/>
                <w:szCs w:val="18"/>
              </w:rPr>
              <w:t xml:space="preserve">Automation First</w:t>
            </w:r>
          </w:p>
        </w:tc>
        <w:tc>
          <w:tcPr>
            <w:tcW w:type="dxa" w:w="716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r>
              <w:rPr>
                <w:rFonts w:ascii="Arial" w:cs="Arial" w:eastAsia="Arial" w:hAnsi="Arial"/>
                <w:b/>
                <w:bCs/>
                <w:color w:val="FFFFFF"/>
                <w:sz w:val="20"/>
                <w:szCs w:val="20"/>
              </w:rPr>
              <w:t xml:space="preserve">Pie investing model — set allocations once, future contributions auto-invest proportionally</w:t>
            </w:r>
          </w:p>
        </w:tc>
      </w:tr>
      <w:tr>
        <w:tc>
          <w:tcPr>
            <w:tcW w:type="dxa" w:w="9360"/>
            <w:gridSpan w:val="2"/>
            <w:tcBorders>
              <w:top w:val="single" w:color="E5E7EB" w:sz="6"/>
              <w:left w:val="single" w:color="E5E7EB" w:sz="6"/>
              <w:bottom w:val="single" w:color="E5E7EB" w:sz="6"/>
              <w:right w:val="single" w:color="E5E7EB" w:sz="6"/>
            </w:tcBorders>
            <w:shd w:fill="F4F7FA" w:val="clear"/>
            <w:tcMar>
              <w:top w:type="dxa" w:w="100"/>
              <w:left w:type="dxa" w:w="200"/>
              <w:bottom w:type="dxa" w:w="100"/>
              <w:right w:type="dxa" w:w="200"/>
            </w:tcMar>
          </w:tcPr>
          <w:p>
            <w:pPr>
              <w:pStyle w:val="ListParagraph"/>
              <w:numPr>
                <w:ilvl w:val="0"/>
                <w:numId w:val="2"/>
              </w:numPr>
              <w:spacing w:before="30" w:after="30"/>
            </w:pPr>
            <w:r>
              <w:rPr>
                <w:rFonts w:ascii="Arial" w:cs="Arial" w:eastAsia="Arial" w:hAnsi="Arial"/>
                <w:color w:val="1F2937"/>
                <w:sz w:val="20"/>
                <w:szCs w:val="20"/>
              </w:rPr>
              <w:t xml:space="preserve">'Pie' investing model — set allocation percentages once, all future contributions auto-invest proportionally</w:t>
            </w:r>
          </w:p>
          <w:p>
            <w:pPr>
              <w:pStyle w:val="ListParagraph"/>
              <w:numPr>
                <w:ilvl w:val="0"/>
                <w:numId w:val="2"/>
              </w:numPr>
              <w:spacing w:before="30" w:after="30"/>
            </w:pPr>
            <w:r>
              <w:rPr>
                <w:rFonts w:ascii="Arial" w:cs="Arial" w:eastAsia="Arial" w:hAnsi="Arial"/>
                <w:color w:val="1F2937"/>
                <w:sz w:val="20"/>
                <w:szCs w:val="20"/>
              </w:rPr>
              <w:t xml:space="preserve">Automatic rebalancing built in</w:t>
            </w:r>
          </w:p>
          <w:p>
            <w:pPr>
              <w:pStyle w:val="ListParagraph"/>
              <w:numPr>
                <w:ilvl w:val="0"/>
                <w:numId w:val="2"/>
              </w:numPr>
              <w:spacing w:before="30" w:after="30"/>
            </w:pPr>
            <w:r>
              <w:rPr>
                <w:rFonts w:ascii="Arial" w:cs="Arial" w:eastAsia="Arial" w:hAnsi="Arial"/>
                <w:color w:val="1F2937"/>
                <w:sz w:val="20"/>
                <w:szCs w:val="20"/>
              </w:rPr>
              <w:t xml:space="preserve">No trading commissions, no management fees</w:t>
            </w:r>
          </w:p>
          <w:p>
            <w:pPr>
              <w:spacing w:before="60" w:after="0"/>
            </w:pPr>
            <w:r>
              <w:rPr>
                <w:rFonts w:ascii="Arial" w:cs="Arial" w:eastAsia="Arial" w:hAnsi="Arial"/>
                <w:b/>
                <w:bCs/>
                <w:color w:val="1A7A4A"/>
                <w:sz w:val="20"/>
                <w:szCs w:val="20"/>
              </w:rPr>
              <w:t xml:space="preserve">Verdict: </w:t>
            </w:r>
            <w:r>
              <w:rPr>
                <w:rFonts w:ascii="Arial" w:cs="Arial" w:eastAsia="Arial" w:hAnsi="Arial"/>
                <w:b/>
                <w:bCs/>
                <w:color w:val="0D1B2A"/>
                <w:sz w:val="20"/>
                <w:szCs w:val="20"/>
              </w:rPr>
              <w:t xml:space="preserve">Consider if automation is your top priority</w:t>
            </w:r>
          </w:p>
        </w:tc>
      </w:tr>
    </w:tbl>
    <w:p>
      <w:pPr>
        <w:spacing w:before="80" w:after="0"/>
      </w:pPr>
    </w:p>
    <w:p>
      <w:r>
        <w:br w:type="page"/>
      </w:r>
    </w:p>
    <w:p>
      <w:pPr>
        <w:pStyle w:val="Heading1"/>
        <w:spacing w:before="240" w:after="120"/>
      </w:pPr>
      <w:r>
        <w:rPr>
          <w:rFonts w:ascii="Arial" w:cs="Arial" w:eastAsia="Arial" w:hAnsi="Arial"/>
          <w:b/>
          <w:bCs/>
          <w:color w:val="0D1B2A"/>
          <w:sz w:val="36"/>
          <w:szCs w:val="36"/>
        </w:rPr>
        <w:t xml:space="preserve">Your Portfolio Options: Pick Your Risk Profile</w:t>
      </w:r>
    </w:p>
    <w:p>
      <w:pPr>
        <w:pBdr>
          <w:bottom w:val="single" w:color="1B7F79" w:sz="8" w:space="1"/>
        </w:pBdr>
        <w:spacing w:before="120" w:after="120"/>
      </w:pPr>
    </w:p>
    <w:p>
      <w:pPr>
        <w:spacing w:before="120" w:after="60"/>
      </w:pPr>
      <w:r>
        <w:rPr>
          <w:rFonts w:ascii="Arial" w:cs="Arial" w:eastAsia="Arial" w:hAnsi="Arial"/>
          <w:b/>
          <w:bCs/>
          <w:color w:val="1B7F79"/>
          <w:sz w:val="26"/>
          <w:szCs w:val="26"/>
        </w:rPr>
        <w:t xml:space="preserve">Option A: </w:t>
      </w:r>
      <w:r>
        <w:rPr>
          <w:rFonts w:ascii="Arial" w:cs="Arial" w:eastAsia="Arial" w:hAnsi="Arial"/>
          <w:b/>
          <w:bCs/>
          <w:color w:val="0D1B2A"/>
          <w:sz w:val="26"/>
          <w:szCs w:val="26"/>
        </w:rPr>
        <w:t xml:space="preserve">The One-Fund Lazy Portfolio (Zero Decisions)</w:t>
      </w:r>
    </w:p>
    <w:p>
      <w:pPr>
        <w:spacing w:before="60" w:after="60"/>
        <w:jc w:val="both"/>
      </w:pPr>
      <w:r>
        <w:rPr>
          <w:rFonts w:ascii="Arial" w:cs="Arial" w:eastAsia="Arial" w:hAnsi="Arial"/>
          <w:color w:val="1F2937"/>
          <w:sz w:val="22"/>
          <w:szCs w:val="22"/>
        </w:rPr>
        <w:t xml:space="preserve">If you want genuinely zero ongoing decisions — one fund, set it, forget 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Brokerage</w:t>
            </w:r>
          </w:p>
        </w:tc>
        <w:tc>
          <w:tcPr>
            <w:tcW w:type="dxa" w:w="45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Fund</w:t>
            </w:r>
          </w:p>
        </w:tc>
        <w:tc>
          <w:tcPr>
            <w:tcW w:type="dxa" w:w="236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Expense Ratio</w:t>
            </w:r>
          </w:p>
        </w:tc>
      </w:tr>
      <w:tr>
        <w:tc>
          <w:tcPr>
            <w:tcW w:type="dxa" w:w="2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Fidelity</w:t>
            </w:r>
          </w:p>
        </w:tc>
        <w:tc>
          <w:tcPr>
            <w:tcW w:type="dxa" w:w="4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FFFDX (Freedom Index 2050)</w:t>
            </w:r>
          </w:p>
        </w:tc>
        <w:tc>
          <w:tcPr>
            <w:tcW w:type="dxa" w:w="23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0.12%</w:t>
            </w:r>
          </w:p>
        </w:tc>
      </w:tr>
      <w:tr>
        <w:tc>
          <w:tcPr>
            <w:tcW w:type="dxa" w:w="25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Vanguard</w:t>
            </w:r>
          </w:p>
        </w:tc>
        <w:tc>
          <w:tcPr>
            <w:tcW w:type="dxa" w:w="45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VTTSX (Target Retirement 2050)</w:t>
            </w:r>
          </w:p>
        </w:tc>
        <w:tc>
          <w:tcPr>
            <w:tcW w:type="dxa" w:w="23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0.08%</w:t>
            </w:r>
          </w:p>
        </w:tc>
      </w:tr>
      <w:tr>
        <w:tc>
          <w:tcPr>
            <w:tcW w:type="dxa" w:w="2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Schwab</w:t>
            </w:r>
          </w:p>
        </w:tc>
        <w:tc>
          <w:tcPr>
            <w:tcW w:type="dxa" w:w="4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SWYMX (Target 2050 Index)</w:t>
            </w:r>
          </w:p>
        </w:tc>
        <w:tc>
          <w:tcPr>
            <w:tcW w:type="dxa" w:w="23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0.13%</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79" w:sz="6"/>
              <w:left w:val="single" w:color="1B7F79" w:sz="6"/>
              <w:bottom w:val="single" w:color="1B7F79" w:sz="6"/>
              <w:right w:val="single" w:color="1B7F79" w:sz="6"/>
            </w:tcBorders>
            <w:shd w:fill="F4F7FA" w:val="clear"/>
            <w:tcMar>
              <w:top w:type="dxa" w:w="160"/>
              <w:left w:type="dxa" w:w="240"/>
              <w:bottom w:type="dxa" w:w="160"/>
              <w:right w:type="dxa" w:w="240"/>
            </w:tcMar>
          </w:tcPr>
          <w:p>
            <w:pPr>
              <w:spacing w:before="50" w:after="50"/>
              <w:jc w:val="center"/>
            </w:pPr>
            <w:r>
              <w:rPr>
                <w:rFonts w:ascii="Arial" w:cs="Arial" w:eastAsia="Arial" w:hAnsi="Arial"/>
                <w:b w:val="false"/>
                <w:bCs w:val="false"/>
                <w:color w:val="0D1B2A"/>
                <w:sz w:val="22"/>
                <w:szCs w:val="22"/>
              </w:rPr>
              <w:t xml:space="preserve">A target-date fund automatically holds US stocks, international stocks, and bonds in an age-appropriate ratio — and gradually shifts from aggressive to conservative as you approach the target year.</w:t>
            </w:r>
          </w:p>
          <w:p>
            <w:pPr>
              <w:spacing w:before="50" w:after="50"/>
              <w:jc w:val="center"/>
            </w:pPr>
            <w:r>
              <w:rPr>
                <w:rFonts w:ascii="Arial" w:cs="Arial" w:eastAsia="Arial" w:hAnsi="Arial"/>
                <w:b/>
                <w:bCs/>
                <w:color w:val="0D1B2A"/>
                <w:sz w:val="22"/>
                <w:szCs w:val="22"/>
              </w:rPr>
              <w:t xml:space="preserve">Best for: People who will not stay the course if they have to think about it.</w:t>
            </w:r>
          </w:p>
        </w:tc>
      </w:tr>
    </w:tbl>
    <w:p>
      <w:pPr>
        <w:spacing w:before="100" w:after="0"/>
      </w:pPr>
    </w:p>
    <w:p>
      <w:pPr>
        <w:spacing w:before="120" w:after="60"/>
      </w:pPr>
      <w:r>
        <w:rPr>
          <w:rFonts w:ascii="Arial" w:cs="Arial" w:eastAsia="Arial" w:hAnsi="Arial"/>
          <w:b/>
          <w:bCs/>
          <w:color w:val="6D28D9"/>
          <w:sz w:val="26"/>
          <w:szCs w:val="26"/>
        </w:rPr>
        <w:t xml:space="preserve">Option B: </w:t>
      </w:r>
      <w:r>
        <w:rPr>
          <w:rFonts w:ascii="Arial" w:cs="Arial" w:eastAsia="Arial" w:hAnsi="Arial"/>
          <w:b/>
          <w:bCs/>
          <w:color w:val="0D1B2A"/>
          <w:sz w:val="26"/>
          <w:szCs w:val="26"/>
        </w:rPr>
        <w:t xml:space="preserve">The Three-Fund Portfolio (Optimal Control, Minimal Complexity)</w:t>
      </w:r>
    </w:p>
    <w:p>
      <w:pPr>
        <w:spacing w:before="60" w:after="60"/>
        <w:jc w:val="both"/>
      </w:pPr>
      <w:r>
        <w:rPr>
          <w:rFonts w:ascii="Arial" w:cs="Arial" w:eastAsia="Arial" w:hAnsi="Arial"/>
          <w:color w:val="1F2937"/>
          <w:sz w:val="22"/>
          <w:szCs w:val="22"/>
        </w:rPr>
        <w:t xml:space="preserve">Three funds. All the diversification in the world. Lowest possible fees. Used by millions of serious investors worldwide.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Fidelity</w:t>
            </w:r>
          </w:p>
        </w:tc>
        <w:tc>
          <w:tcPr>
            <w:tcW w:type="dxa" w:w="23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Vanguard</w:t>
            </w:r>
          </w:p>
        </w:tc>
        <w:tc>
          <w:tcPr>
            <w:tcW w:type="dxa" w:w="216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Schwab</w:t>
            </w:r>
          </w:p>
        </w:tc>
      </w:tr>
      <w:tr>
        <w:tc>
          <w:tcPr>
            <w:tcW w:type="dxa" w:w="2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 Total Market</w:t>
            </w:r>
          </w:p>
        </w:tc>
        <w:tc>
          <w:tcPr>
            <w:tcW w:type="dxa" w:w="23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FSKAX (0.015%)</w:t>
            </w:r>
          </w:p>
        </w:tc>
        <w:tc>
          <w:tcPr>
            <w:tcW w:type="dxa" w:w="23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VTI (0.03%)</w:t>
            </w:r>
          </w:p>
        </w:tc>
        <w:tc>
          <w:tcPr>
            <w:tcW w:type="dxa" w:w="2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SWTSX (0.03%)</w:t>
            </w:r>
          </w:p>
        </w:tc>
      </w:tr>
      <w:tr>
        <w:tc>
          <w:tcPr>
            <w:tcW w:type="dxa" w:w="26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International</w:t>
            </w:r>
          </w:p>
        </w:tc>
        <w:tc>
          <w:tcPr>
            <w:tcW w:type="dxa" w:w="23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FTIHX (0.06%)</w:t>
            </w:r>
          </w:p>
        </w:tc>
        <w:tc>
          <w:tcPr>
            <w:tcW w:type="dxa" w:w="23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VXUS (0.07%)</w:t>
            </w:r>
          </w:p>
        </w:tc>
        <w:tc>
          <w:tcPr>
            <w:tcW w:type="dxa" w:w="21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SWISX (0.06%)</w:t>
            </w:r>
          </w:p>
        </w:tc>
      </w:tr>
      <w:tr>
        <w:tc>
          <w:tcPr>
            <w:tcW w:type="dxa" w:w="2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Bonds</w:t>
            </w:r>
          </w:p>
        </w:tc>
        <w:tc>
          <w:tcPr>
            <w:tcW w:type="dxa" w:w="23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FXNAX (0.025%)</w:t>
            </w:r>
          </w:p>
        </w:tc>
        <w:tc>
          <w:tcPr>
            <w:tcW w:type="dxa" w:w="23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BND (0.03%)</w:t>
            </w:r>
          </w:p>
        </w:tc>
        <w:tc>
          <w:tcPr>
            <w:tcW w:type="dxa" w:w="2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SWAGX (0.04%)</w:t>
            </w:r>
          </w:p>
        </w:tc>
      </w:tr>
      <w:tr>
        <w:tc>
          <w:tcPr>
            <w:tcW w:type="dxa" w:w="26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Zero-Fee US (Fidelity only)</w:t>
            </w:r>
          </w:p>
        </w:tc>
        <w:tc>
          <w:tcPr>
            <w:tcW w:type="dxa" w:w="23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FZROX (0.00%)</w:t>
            </w:r>
          </w:p>
        </w:tc>
        <w:tc>
          <w:tcPr>
            <w:tcW w:type="dxa" w:w="23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21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2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Zero-Fee Intl (Fidelity only)</w:t>
            </w:r>
          </w:p>
        </w:tc>
        <w:tc>
          <w:tcPr>
            <w:tcW w:type="dxa" w:w="23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FZILX (0.00%)</w:t>
            </w:r>
          </w:p>
        </w:tc>
        <w:tc>
          <w:tcPr>
            <w:tcW w:type="dxa" w:w="23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2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bl>
    <w:p>
      <w:pPr>
        <w:spacing w:before="80" w:after="0"/>
      </w:pPr>
    </w:p>
    <w:p>
      <w:pPr>
        <w:spacing w:before="80" w:after="40"/>
      </w:pPr>
      <w:r>
        <w:rPr>
          <w:rFonts w:ascii="Arial" w:cs="Arial" w:eastAsia="Arial" w:hAnsi="Arial"/>
          <w:b/>
          <w:bCs/>
          <w:color w:val="0D1B2A"/>
          <w:sz w:val="22"/>
          <w:szCs w:val="22"/>
        </w:rPr>
        <w:t xml:space="preserve">Allocation by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00"/>
        <w:gridCol w:w="1200"/>
        <w:gridCol w:w="3260"/>
      </w:tblGrid>
      <w:tr>
        <w:tc>
          <w:tcPr>
            <w:tcW w:type="dxa" w:w="18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15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US Stocks</w:t>
            </w:r>
          </w:p>
        </w:tc>
        <w:tc>
          <w:tcPr>
            <w:tcW w:type="dxa" w:w="16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International</w:t>
            </w:r>
          </w:p>
        </w:tc>
        <w:tc>
          <w:tcPr>
            <w:tcW w:type="dxa" w:w="12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Bonds</w:t>
            </w:r>
          </w:p>
        </w:tc>
        <w:tc>
          <w:tcPr>
            <w:tcW w:type="dxa" w:w="326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Who It's For</w:t>
            </w:r>
          </w:p>
        </w:tc>
      </w:tr>
      <w:tr>
        <w:tc>
          <w:tcPr>
            <w:tcW w:type="dxa" w:w="1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Conservative</w:t>
            </w:r>
          </w:p>
        </w:tc>
        <w:tc>
          <w:tcPr>
            <w:tcW w:type="dxa" w:w="1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30%</w:t>
            </w:r>
          </w:p>
        </w:tc>
        <w:tc>
          <w:tcPr>
            <w:tcW w:type="dxa" w:w="1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w:t>
            </w:r>
          </w:p>
        </w:tc>
        <w:tc>
          <w:tcPr>
            <w:tcW w:type="dxa" w:w="1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60%</w:t>
            </w:r>
          </w:p>
        </w:tc>
        <w:tc>
          <w:tcPr>
            <w:tcW w:type="dxa" w:w="32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Near retirement, low risk tolerance</w:t>
            </w:r>
          </w:p>
        </w:tc>
      </w:tr>
      <w:tr>
        <w:tc>
          <w:tcPr>
            <w:tcW w:type="dxa" w:w="18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Moderate</w:t>
            </w:r>
          </w:p>
        </w:tc>
        <w:tc>
          <w:tcPr>
            <w:tcW w:type="dxa" w:w="15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48%</w:t>
            </w:r>
          </w:p>
        </w:tc>
        <w:tc>
          <w:tcPr>
            <w:tcW w:type="dxa" w:w="16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22%</w:t>
            </w:r>
          </w:p>
        </w:tc>
        <w:tc>
          <w:tcPr>
            <w:tcW w:type="dxa" w:w="12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30%</w:t>
            </w:r>
          </w:p>
        </w:tc>
        <w:tc>
          <w:tcPr>
            <w:tcW w:type="dxa" w:w="32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10–20 years to retirement, balanced</w:t>
            </w:r>
          </w:p>
        </w:tc>
      </w:tr>
      <w:tr>
        <w:tc>
          <w:tcPr>
            <w:tcW w:type="dxa" w:w="1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Aggressive</w:t>
            </w:r>
          </w:p>
        </w:tc>
        <w:tc>
          <w:tcPr>
            <w:tcW w:type="dxa" w:w="1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63%</w:t>
            </w:r>
          </w:p>
        </w:tc>
        <w:tc>
          <w:tcPr>
            <w:tcW w:type="dxa" w:w="1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27%</w:t>
            </w:r>
          </w:p>
        </w:tc>
        <w:tc>
          <w:tcPr>
            <w:tcW w:type="dxa" w:w="1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w:t>
            </w:r>
          </w:p>
        </w:tc>
        <w:tc>
          <w:tcPr>
            <w:tcW w:type="dxa" w:w="32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 years to retirement, high risk tolerance</w:t>
            </w:r>
          </w:p>
        </w:tc>
      </w:tr>
      <w:tr>
        <w:tc>
          <w:tcPr>
            <w:tcW w:type="dxa" w:w="18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Very Aggressive</w:t>
            </w:r>
          </w:p>
        </w:tc>
        <w:tc>
          <w:tcPr>
            <w:tcW w:type="dxa" w:w="15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70%</w:t>
            </w:r>
          </w:p>
        </w:tc>
        <w:tc>
          <w:tcPr>
            <w:tcW w:type="dxa" w:w="16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30%</w:t>
            </w:r>
          </w:p>
        </w:tc>
        <w:tc>
          <w:tcPr>
            <w:tcW w:type="dxa" w:w="12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32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30+ years, maximum growth focus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8E7" w:val="clear"/>
            <w:tcMar>
              <w:top w:type="dxa" w:w="160"/>
              <w:left w:type="dxa" w:w="240"/>
              <w:bottom w:type="dxa" w:w="160"/>
              <w:right w:type="dxa" w:w="240"/>
            </w:tcMar>
          </w:tcPr>
          <w:p>
            <w:pPr>
              <w:spacing w:before="50" w:after="50"/>
              <w:jc w:val="center"/>
            </w:pPr>
            <w:r>
              <w:rPr>
                <w:rFonts w:ascii="Arial" w:cs="Arial" w:eastAsia="Arial" w:hAnsi="Arial"/>
                <w:b/>
                <w:bCs/>
                <w:color w:val="0D1B2A"/>
                <w:sz w:val="22"/>
                <w:szCs w:val="22"/>
              </w:rPr>
              <w:t xml:space="preserve">The right allocation is the one you'll hold through a bear market without selling.</w:t>
            </w:r>
          </w:p>
          <w:p>
            <w:pPr>
              <w:spacing w:before="50" w:after="50"/>
              <w:jc w:val="center"/>
            </w:pPr>
            <w:r>
              <w:rPr>
                <w:rFonts w:ascii="Arial" w:cs="Arial" w:eastAsia="Arial" w:hAnsi="Arial"/>
                <w:b w:val="false"/>
                <w:bCs w:val="false"/>
                <w:color w:val="0D1B2A"/>
                <w:sz w:val="22"/>
                <w:szCs w:val="22"/>
              </w:rPr>
              <w:t xml:space="preserve">If seeing your portfolio drop 40% would cause you to sell in panic — go moderate or conservative. If you can watch it drop and do nothing — go aggressive.</w:t>
            </w:r>
          </w:p>
        </w:tc>
      </w:tr>
    </w:tbl>
    <w:p>
      <w:r>
        <w:br w:type="page"/>
      </w:r>
    </w:p>
    <w:p>
      <w:pPr>
        <w:pStyle w:val="Heading1"/>
        <w:spacing w:before="240" w:after="120"/>
      </w:pPr>
      <w:r>
        <w:rPr>
          <w:rFonts w:ascii="Arial" w:cs="Arial" w:eastAsia="Arial" w:hAnsi="Arial"/>
          <w:b/>
          <w:bCs/>
          <w:color w:val="0D1B2A"/>
          <w:sz w:val="36"/>
          <w:szCs w:val="36"/>
        </w:rPr>
        <w:t xml:space="preserve">The Tax-Advantaged Account Priority Order</w:t>
      </w:r>
    </w:p>
    <w:p>
      <w:pPr>
        <w:pBdr>
          <w:bottom w:val="single" w:color="1B7F79" w:sz="8" w:space="1"/>
        </w:pBdr>
        <w:spacing w:before="120" w:after="120"/>
      </w:pPr>
    </w:p>
    <w:p>
      <w:pPr>
        <w:spacing w:before="60" w:after="60"/>
        <w:jc w:val="both"/>
      </w:pPr>
      <w:r>
        <w:rPr>
          <w:rFonts w:ascii="Arial" w:cs="Arial" w:eastAsia="Arial" w:hAnsi="Arial"/>
          <w:b/>
          <w:bCs/>
          <w:color w:val="1F2937"/>
          <w:sz w:val="22"/>
          <w:szCs w:val="22"/>
        </w:rPr>
        <w:t xml:space="preserve">This is the single most valuable framework in personal investing.</w:t>
      </w:r>
      <w:r>
        <w:rPr>
          <w:rFonts w:ascii="Arial" w:cs="Arial" w:eastAsia="Arial" w:hAnsi="Arial"/>
          <w:color w:val="1F2937"/>
          <w:sz w:val="22"/>
          <w:szCs w:val="22"/>
        </w:rPr>
        <w:t xml:space="preserve"> Before you open a taxable brokerage account, maximize your tax-advantaged options in this exact order: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401(k) — Up to the Employer Match (Free Money)</w:t>
            </w:r>
          </w:p>
          <w:p>
            <w:pPr>
              <w:spacing w:before="40" w:after="0"/>
            </w:pPr>
            <w:r>
              <w:rPr>
                <w:rFonts w:ascii="Arial" w:cs="Arial" w:eastAsia="Arial" w:hAnsi="Arial"/>
                <w:color w:val="1F2937"/>
                <w:sz w:val="20"/>
                <w:szCs w:val="20"/>
              </w:rPr>
              <w:t xml:space="preserve">Your employer match is a 50–100% instant return on that contribution. Contribute at minimum enough to capture the full match. Never leave this money on the table. A 50% match on 6% of your salary is a guaranteed 50% return before a single dollar is invested.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HSA — If You Have an HDHP (Triple Tax Advantage)</w:t>
            </w:r>
          </w:p>
          <w:p>
            <w:pPr>
              <w:spacing w:before="40" w:after="0"/>
            </w:pPr>
            <w:r>
              <w:rPr>
                <w:rFonts w:ascii="Arial" w:cs="Arial" w:eastAsia="Arial" w:hAnsi="Arial"/>
                <w:color w:val="1F2937"/>
                <w:sz w:val="20"/>
                <w:szCs w:val="20"/>
              </w:rPr>
              <w:t xml:space="preserve">Contributions pre-tax, growth tax-free, qualified withdrawals tax-free. Invest the balance in index funds. Don't spend it — let it compound. After 65, withdraw for any purpose (taxed like a traditional IRA). Max it: $4,150 individual / $8,300 family (2024).</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Roth IRA — $7,000/Year ($8,000 if 50+)</w:t>
            </w:r>
          </w:p>
          <w:p>
            <w:pPr>
              <w:spacing w:before="40" w:after="0"/>
            </w:pPr>
            <w:r>
              <w:rPr>
                <w:rFonts w:ascii="Arial" w:cs="Arial" w:eastAsia="Arial" w:hAnsi="Arial"/>
                <w:color w:val="1F2937"/>
                <w:sz w:val="20"/>
                <w:szCs w:val="20"/>
              </w:rPr>
              <w:t xml:space="preserve">After-tax contributions, tax-free growth, tax-free withdrawals in retirement. No RMDs. The most flexible retirement account available. Income limit phases out at $146K–$161K (single) / $230K–$240K (married). Over income? Use the backdoor Roth (see Hacks).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401(k) — Up to the Full Limit ($23,000)</w:t>
            </w:r>
          </w:p>
          <w:p>
            <w:pPr>
              <w:spacing w:before="40" w:after="0"/>
            </w:pPr>
            <w:r>
              <w:rPr>
                <w:rFonts w:ascii="Arial" w:cs="Arial" w:eastAsia="Arial" w:hAnsi="Arial"/>
                <w:color w:val="1F2937"/>
                <w:sz w:val="20"/>
                <w:szCs w:val="20"/>
              </w:rPr>
              <w:t xml:space="preserve">After maxing the Roth IRA, return to your 401(k) and contribute toward the full $23,000 limit (or $30,500 if 50+). Pre-tax contributions reduce your taxable income now.</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Taxable Brokerage — Unlimited</w:t>
            </w:r>
          </w:p>
          <w:p>
            <w:pPr>
              <w:spacing w:before="40" w:after="0"/>
            </w:pPr>
            <w:r>
              <w:rPr>
                <w:rFonts w:ascii="Arial" w:cs="Arial" w:eastAsia="Arial" w:hAnsi="Arial"/>
                <w:color w:val="1F2937"/>
                <w:sz w:val="20"/>
                <w:szCs w:val="20"/>
              </w:rPr>
              <w:t xml:space="preserve">After all tax-advantaged accounts are maxed, invest additional savings in a taxable brokerage account. No contribution limits. No withdrawal restrictions. Subject to capital gains tax — but long-term capital gains rates (0%, 15%, or 20%) are lower than ordinary income rates.</w:t>
            </w:r>
          </w:p>
        </w:tc>
      </w:tr>
    </w:tbl>
    <w:p>
      <w:pPr>
        <w:spacing w:before="60" w:after="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1A7A4A" w:sz="6"/>
              <w:right w:val="single" w:color="1A7A4A" w:sz="6"/>
            </w:tcBorders>
            <w:shd w:fill="F0FFF4" w:val="clear"/>
            <w:tcMar>
              <w:top w:type="dxa" w:w="160"/>
              <w:left w:type="dxa" w:w="240"/>
              <w:bottom w:type="dxa" w:w="160"/>
              <w:right w:type="dxa" w:w="240"/>
            </w:tcMar>
          </w:tcPr>
          <w:p>
            <w:pPr>
              <w:spacing w:before="50" w:after="50"/>
              <w:jc w:val="center"/>
            </w:pPr>
            <w:r>
              <w:rPr>
                <w:rFonts w:ascii="Arial" w:cs="Arial" w:eastAsia="Arial" w:hAnsi="Arial"/>
                <w:b/>
                <w:bCs/>
                <w:color w:val="0D1B2A"/>
                <w:sz w:val="22"/>
                <w:szCs w:val="22"/>
              </w:rPr>
              <w:t xml:space="preserve">A dollar in a Roth IRA at 7% for 30 years = $7.61 tax-free.</w:t>
            </w:r>
          </w:p>
          <w:p>
            <w:pPr>
              <w:spacing w:before="50" w:after="50"/>
              <w:jc w:val="center"/>
            </w:pPr>
            <w:r>
              <w:rPr>
                <w:rFonts w:ascii="Arial" w:cs="Arial" w:eastAsia="Arial" w:hAnsi="Arial"/>
                <w:b w:val="false"/>
                <w:bCs w:val="false"/>
                <w:color w:val="0D1B2A"/>
                <w:sz w:val="22"/>
                <w:szCs w:val="22"/>
              </w:rPr>
              <w:t xml:space="preserve">The same dollar in a taxable account at 7% for 30 years = ~$5.50 after capital gains tax.</w:t>
            </w:r>
          </w:p>
          <w:p>
            <w:pPr>
              <w:spacing w:before="50" w:after="50"/>
              <w:jc w:val="center"/>
            </w:pPr>
            <w:r>
              <w:rPr>
                <w:rFonts w:ascii="Arial" w:cs="Arial" w:eastAsia="Arial" w:hAnsi="Arial"/>
                <w:b/>
                <w:bCs/>
                <w:color w:val="0D1B2A"/>
                <w:sz w:val="22"/>
                <w:szCs w:val="22"/>
              </w:rPr>
              <w:t xml:space="preserve">Max the tax-advantaged accounts first — always.</w:t>
            </w:r>
          </w:p>
        </w:tc>
      </w:tr>
    </w:tbl>
    <w:p>
      <w:r>
        <w:br w:type="page"/>
      </w:r>
    </w:p>
    <w:p>
      <w:pPr>
        <w:pStyle w:val="Heading1"/>
        <w:spacing w:before="240" w:after="120"/>
      </w:pPr>
      <w:r>
        <w:rPr>
          <w:rFonts w:ascii="Arial" w:cs="Arial" w:eastAsia="Arial" w:hAnsi="Arial"/>
          <w:b/>
          <w:bCs/>
          <w:color w:val="0D1B2A"/>
          <w:sz w:val="36"/>
          <w:szCs w:val="36"/>
        </w:rPr>
        <w:t xml:space="preserve">The Weekend Execution Plan</w:t>
      </w:r>
    </w:p>
    <w:p>
      <w:pPr>
        <w:pBdr>
          <w:bottom w:val="single" w:color="1B7F79" w:sz="8" w:space="1"/>
        </w:pBdr>
        <w:spacing w:before="120" w:after="120"/>
      </w:pPr>
    </w:p>
    <w:p>
      <w:pPr>
        <w:spacing w:before="60" w:after="60"/>
        <w:jc w:val="both"/>
      </w:pPr>
      <w:r>
        <w:rPr>
          <w:rFonts w:ascii="Arial" w:cs="Arial" w:eastAsia="Arial" w:hAnsi="Arial"/>
          <w:color w:val="1F2937"/>
          <w:sz w:val="22"/>
          <w:szCs w:val="22"/>
        </w:rPr>
        <w:t xml:space="preserve">One weekend. That's all it takes. Follow this exact plan.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tcBorders>
              <w:top w:val="none" w:color="FFFFFF" w:sz="0"/>
              <w:left w:val="none" w:color="FFFFFF" w:sz="0"/>
              <w:bottom w:val="none" w:color="FFFFFF" w:sz="0"/>
              <w:right w:val="none" w:color="FFFFFF" w:sz="0"/>
            </w:tcBorders>
            <w:shd w:fill="1B7F79" w:val="clear"/>
            <w:tcMar>
              <w:top w:type="dxa" w:w="100"/>
              <w:left w:type="dxa" w:w="180"/>
              <w:bottom w:type="dxa" w:w="100"/>
              <w:right w:type="dxa" w:w="180"/>
            </w:tcMar>
          </w:tcPr>
          <w:p>
            <w:r>
              <w:rPr>
                <w:rFonts w:ascii="Arial" w:cs="Arial" w:eastAsia="Arial" w:hAnsi="Arial"/>
                <w:b/>
                <w:bCs/>
                <w:color w:val="FFFFFF"/>
                <w:sz w:val="26"/>
                <w:szCs w:val="26"/>
              </w:rPr>
              <w:t xml:space="preserve">SATURDAY: Research, Open, and Fund</w:t>
            </w:r>
          </w:p>
          <w:p>
            <w:r>
              <w:rPr>
                <w:rFonts w:ascii="Arial" w:cs="Arial" w:eastAsia="Arial" w:hAnsi="Arial"/>
                <w:color w:val="FFFFCC"/>
                <w:sz w:val="18"/>
                <w:szCs w:val="18"/>
              </w:rPr>
              <w:t xml:space="preserve">Full setup day</w:t>
            </w:r>
          </w:p>
        </w:tc>
      </w:tr>
      <w:tr>
        <w:tc>
          <w:tcPr>
            <w:tcW w:type="dxa" w:w="1200"/>
            <w:tcBorders>
              <w:top w:val="none" w:color="FFFFFF" w:sz="0"/>
              <w:left w:val="none" w:color="FFFFFF" w:sz="0"/>
              <w:bottom w:val="none" w:color="FFFFFF" w:sz="0"/>
              <w:right w:val="none" w:color="FFFFFF" w:sz="0"/>
            </w:tcBorders>
            <w:shd w:fill="F4F7FA" w:val="clear"/>
            <w:tcMar>
              <w:top w:type="dxa" w:w="60"/>
              <w:left w:type="dxa" w:w="100"/>
              <w:bottom w:type="dxa" w:w="60"/>
              <w:right w:type="dxa" w:w="80"/>
            </w:tcMar>
            <w:vAlign w:val="center"/>
          </w:tcPr>
          <w:p>
            <w:pPr>
              <w:jc w:val="center"/>
            </w:pPr>
            <w:r>
              <w:rPr>
                <w:rFonts w:ascii="Arial" w:cs="Arial" w:eastAsia="Arial" w:hAnsi="Arial"/>
                <w:b/>
                <w:bCs/>
                <w:color w:val="1B7F79"/>
                <w:sz w:val="18"/>
                <w:szCs w:val="18"/>
              </w:rPr>
              <w:t xml:space="preserve">Morning
2–3 hrs</w:t>
            </w:r>
          </w:p>
        </w:tc>
        <w:tc>
          <w:tcPr>
            <w:tcW w:type="dxa" w:w="8160"/>
            <w:tcBorders>
              <w:top w:val="single" w:color="E5E7EB" w:sz="6"/>
              <w:left w:val="single" w:color="E5E7EB" w:sz="6"/>
              <w:bottom w:val="single" w:color="E5E7EB" w:sz="6"/>
              <w:right w:val="single" w:color="E5E7EB" w:sz="6"/>
            </w:tcBorders>
            <w:shd w:fill="FFFFFF" w:val="clear"/>
            <w:tcMar>
              <w:top w:type="dxa" w:w="60"/>
              <w:left w:type="dxa" w:w="140"/>
              <w:bottom w:type="dxa" w:w="60"/>
              <w:right w:type="dxa" w:w="120"/>
            </w:tcMar>
          </w:tcPr>
          <w:p>
            <w:r>
              <w:rPr>
                <w:rFonts w:ascii="Arial" w:cs="Arial" w:eastAsia="Arial" w:hAnsi="Arial"/>
                <w:color w:val="1F2937"/>
                <w:sz w:val="20"/>
                <w:szCs w:val="20"/>
              </w:rPr>
              <w:t xml:space="preserve">Decide your brokerage (Fidelity recommended for beginners). Go to the website and click 'Open an Account.' Choose account type: Roth IRA if you have earned income and are under the income limit, or taxable brokerage if you've already maxed your Roth IRA. Complete the application: name, address, SSN, employment info, beneficiary designation. Takes 10–20 minutes.</w:t>
            </w:r>
          </w:p>
        </w:tc>
      </w:tr>
      <w:tr>
        <w:tc>
          <w:tcPr>
            <w:tcW w:type="dxa" w:w="1200"/>
            <w:tcBorders>
              <w:top w:val="none" w:color="FFFFFF" w:sz="0"/>
              <w:left w:val="none" w:color="FFFFFF" w:sz="0"/>
              <w:bottom w:val="none" w:color="FFFFFF" w:sz="0"/>
              <w:right w:val="none" w:color="FFFFFF" w:sz="0"/>
            </w:tcBorders>
            <w:shd w:fill="F4F7FA" w:val="clear"/>
            <w:tcMar>
              <w:top w:type="dxa" w:w="60"/>
              <w:left w:type="dxa" w:w="100"/>
              <w:bottom w:type="dxa" w:w="60"/>
              <w:right w:type="dxa" w:w="80"/>
            </w:tcMar>
            <w:vAlign w:val="center"/>
          </w:tcPr>
          <w:p>
            <w:pPr>
              <w:jc w:val="center"/>
            </w:pPr>
            <w:r>
              <w:rPr>
                <w:rFonts w:ascii="Arial" w:cs="Arial" w:eastAsia="Arial" w:hAnsi="Arial"/>
                <w:b/>
                <w:bCs/>
                <w:color w:val="1B7F79"/>
                <w:sz w:val="18"/>
                <w:szCs w:val="18"/>
              </w:rPr>
              <w:t xml:space="preserve">Afternoon
1–2 hrs</w:t>
            </w:r>
          </w:p>
        </w:tc>
        <w:tc>
          <w:tcPr>
            <w:tcW w:type="dxa" w:w="8160"/>
            <w:tcBorders>
              <w:top w:val="single" w:color="E5E7EB" w:sz="6"/>
              <w:left w:val="single" w:color="E5E7EB" w:sz="6"/>
              <w:bottom w:val="single" w:color="E5E7EB" w:sz="6"/>
              <w:right w:val="single" w:color="E5E7EB" w:sz="6"/>
            </w:tcBorders>
            <w:shd w:fill="FFFFFF" w:val="clear"/>
            <w:tcMar>
              <w:top w:type="dxa" w:w="60"/>
              <w:left w:type="dxa" w:w="140"/>
              <w:bottom w:type="dxa" w:w="60"/>
              <w:right w:type="dxa" w:w="120"/>
            </w:tcMar>
          </w:tcPr>
          <w:p>
            <w:r>
              <w:rPr>
                <w:rFonts w:ascii="Arial" w:cs="Arial" w:eastAsia="Arial" w:hAnsi="Arial"/>
                <w:color w:val="1F2937"/>
                <w:sz w:val="20"/>
                <w:szCs w:val="20"/>
              </w:rPr>
              <w:t xml:space="preserve">Link your bank account to the brokerage (routing and account number). Initiate your first transfer: up to $7,000 for a Roth IRA for 2024, or whatever you're comfortable starting with for a taxable account ($1,000–$10,000). Transfer typically settles in 1–3 business days — Fidelity provides instant purchasing power up to $25,000.</w:t>
            </w:r>
          </w:p>
        </w:tc>
      </w:tr>
      <w:tr>
        <w:tc>
          <w:tcPr>
            <w:tcW w:type="dxa" w:w="1200"/>
            <w:tcBorders>
              <w:top w:val="none" w:color="FFFFFF" w:sz="0"/>
              <w:left w:val="none" w:color="FFFFFF" w:sz="0"/>
              <w:bottom w:val="none" w:color="FFFFFF" w:sz="0"/>
              <w:right w:val="none" w:color="FFFFFF" w:sz="0"/>
            </w:tcBorders>
            <w:shd w:fill="F4F7FA" w:val="clear"/>
            <w:tcMar>
              <w:top w:type="dxa" w:w="60"/>
              <w:left w:type="dxa" w:w="100"/>
              <w:bottom w:type="dxa" w:w="60"/>
              <w:right w:type="dxa" w:w="80"/>
            </w:tcMar>
            <w:vAlign w:val="center"/>
          </w:tcPr>
          <w:p>
            <w:pPr>
              <w:jc w:val="center"/>
            </w:pPr>
            <w:r>
              <w:rPr>
                <w:rFonts w:ascii="Arial" w:cs="Arial" w:eastAsia="Arial" w:hAnsi="Arial"/>
                <w:b/>
                <w:bCs/>
                <w:color w:val="1B7F79"/>
                <w:sz w:val="18"/>
                <w:szCs w:val="18"/>
              </w:rPr>
              <w:t xml:space="preserve">Evening
30–60 min</w:t>
            </w:r>
          </w:p>
        </w:tc>
        <w:tc>
          <w:tcPr>
            <w:tcW w:type="dxa" w:w="8160"/>
            <w:tcBorders>
              <w:top w:val="single" w:color="E5E7EB" w:sz="6"/>
              <w:left w:val="single" w:color="E5E7EB" w:sz="6"/>
              <w:bottom w:val="single" w:color="E5E7EB" w:sz="6"/>
              <w:right w:val="single" w:color="E5E7EB" w:sz="6"/>
            </w:tcBorders>
            <w:shd w:fill="FFFFFF" w:val="clear"/>
            <w:tcMar>
              <w:top w:type="dxa" w:w="60"/>
              <w:left w:type="dxa" w:w="140"/>
              <w:bottom w:type="dxa" w:w="60"/>
              <w:right w:type="dxa" w:w="120"/>
            </w:tcMar>
          </w:tcPr>
          <w:p>
            <w:r>
              <w:rPr>
                <w:rFonts w:ascii="Arial" w:cs="Arial" w:eastAsia="Arial" w:hAnsi="Arial"/>
                <w:color w:val="1F2937"/>
                <w:sz w:val="20"/>
                <w:szCs w:val="20"/>
              </w:rPr>
              <w:t xml:space="preserve">Confirm the account is approved and the transfer is initiated. Write down your allocation decision: which funds, what percentages. Example (Aggressive, Fidelity): 70% FSKAX, 30% FTIHX. Example (Moderate, Vanguard): 48% VTI, 22% VXUS, 30% BND. This is the last financial decision you'll make for a year — make it deliberately.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tcBorders>
              <w:top w:val="none" w:color="FFFFFF" w:sz="0"/>
              <w:left w:val="none" w:color="FFFFFF" w:sz="0"/>
              <w:bottom w:val="none" w:color="FFFFFF" w:sz="0"/>
              <w:right w:val="none" w:color="FFFFFF" w:sz="0"/>
            </w:tcBorders>
            <w:shd w:fill="1A7A4A" w:val="clear"/>
            <w:tcMar>
              <w:top w:type="dxa" w:w="100"/>
              <w:left w:type="dxa" w:w="180"/>
              <w:bottom w:type="dxa" w:w="100"/>
              <w:right w:type="dxa" w:w="180"/>
            </w:tcMar>
          </w:tcPr>
          <w:p>
            <w:r>
              <w:rPr>
                <w:rFonts w:ascii="Arial" w:cs="Arial" w:eastAsia="Arial" w:hAnsi="Arial"/>
                <w:b/>
                <w:bCs/>
                <w:color w:val="FFFFFF"/>
                <w:sz w:val="26"/>
                <w:szCs w:val="26"/>
              </w:rPr>
              <w:t xml:space="preserve">SUNDAY: Build, Automate, and Walk Away</w:t>
            </w:r>
          </w:p>
          <w:p>
            <w:r>
              <w:rPr>
                <w:rFonts w:ascii="Arial" w:cs="Arial" w:eastAsia="Arial" w:hAnsi="Arial"/>
                <w:color w:val="FFFFCC"/>
                <w:sz w:val="18"/>
                <w:szCs w:val="18"/>
              </w:rPr>
              <w:t xml:space="preserve">The most important day</w:t>
            </w:r>
          </w:p>
        </w:tc>
      </w:tr>
      <w:tr>
        <w:tc>
          <w:tcPr>
            <w:tcW w:type="dxa" w:w="1200"/>
            <w:tcBorders>
              <w:top w:val="none" w:color="FFFFFF" w:sz="0"/>
              <w:left w:val="none" w:color="FFFFFF" w:sz="0"/>
              <w:bottom w:val="none" w:color="FFFFFF" w:sz="0"/>
              <w:right w:val="none" w:color="FFFFFF" w:sz="0"/>
            </w:tcBorders>
            <w:shd w:fill="F4F7FA" w:val="clear"/>
            <w:tcMar>
              <w:top w:type="dxa" w:w="60"/>
              <w:left w:type="dxa" w:w="100"/>
              <w:bottom w:type="dxa" w:w="60"/>
              <w:right w:type="dxa" w:w="80"/>
            </w:tcMar>
            <w:vAlign w:val="center"/>
          </w:tcPr>
          <w:p>
            <w:pPr>
              <w:jc w:val="center"/>
            </w:pPr>
            <w:r>
              <w:rPr>
                <w:rFonts w:ascii="Arial" w:cs="Arial" w:eastAsia="Arial" w:hAnsi="Arial"/>
                <w:b/>
                <w:bCs/>
                <w:color w:val="1A7A4A"/>
                <w:sz w:val="18"/>
                <w:szCs w:val="18"/>
              </w:rPr>
              <w:t xml:space="preserve">Morning
1–2 hrs</w:t>
            </w:r>
          </w:p>
        </w:tc>
        <w:tc>
          <w:tcPr>
            <w:tcW w:type="dxa" w:w="8160"/>
            <w:tcBorders>
              <w:top w:val="single" w:color="E5E7EB" w:sz="6"/>
              <w:left w:val="single" w:color="E5E7EB" w:sz="6"/>
              <w:bottom w:val="single" w:color="E5E7EB" w:sz="6"/>
              <w:right w:val="single" w:color="E5E7EB" w:sz="6"/>
            </w:tcBorders>
            <w:shd w:fill="FFFFFF" w:val="clear"/>
            <w:tcMar>
              <w:top w:type="dxa" w:w="60"/>
              <w:left w:type="dxa" w:w="140"/>
              <w:bottom w:type="dxa" w:w="60"/>
              <w:right w:type="dxa" w:w="120"/>
            </w:tcMar>
          </w:tcPr>
          <w:p>
            <w:r>
              <w:rPr>
                <w:rFonts w:ascii="Arial" w:cs="Arial" w:eastAsia="Arial" w:hAnsi="Arial"/>
                <w:color w:val="1F2937"/>
                <w:sz w:val="20"/>
                <w:szCs w:val="20"/>
              </w:rPr>
              <w:t xml:space="preserve">Log in to your brokerage. Navigate to 'Trade' or 'Buy.' Purchase your first fund allocation using dollar amounts (not share counts). Example: $10,000 with a 70/30 split = $7,000 of US fund + $3,000 of international fund. Use market orders for index funds during market hours (or place to execute at Monday open if Sunday).</w:t>
            </w:r>
          </w:p>
        </w:tc>
      </w:tr>
      <w:tr>
        <w:tc>
          <w:tcPr>
            <w:tcW w:type="dxa" w:w="1200"/>
            <w:tcBorders>
              <w:top w:val="none" w:color="FFFFFF" w:sz="0"/>
              <w:left w:val="none" w:color="FFFFFF" w:sz="0"/>
              <w:bottom w:val="none" w:color="FFFFFF" w:sz="0"/>
              <w:right w:val="none" w:color="FFFFFF" w:sz="0"/>
            </w:tcBorders>
            <w:shd w:fill="F4F7FA" w:val="clear"/>
            <w:tcMar>
              <w:top w:type="dxa" w:w="60"/>
              <w:left w:type="dxa" w:w="100"/>
              <w:bottom w:type="dxa" w:w="60"/>
              <w:right w:type="dxa" w:w="80"/>
            </w:tcMar>
            <w:vAlign w:val="center"/>
          </w:tcPr>
          <w:p>
            <w:pPr>
              <w:jc w:val="center"/>
            </w:pPr>
            <w:r>
              <w:rPr>
                <w:rFonts w:ascii="Arial" w:cs="Arial" w:eastAsia="Arial" w:hAnsi="Arial"/>
                <w:b/>
                <w:bCs/>
                <w:color w:val="1A7A4A"/>
                <w:sz w:val="18"/>
                <w:szCs w:val="18"/>
              </w:rPr>
              <w:t xml:space="preserve">Midday
30–60 min</w:t>
            </w:r>
          </w:p>
        </w:tc>
        <w:tc>
          <w:tcPr>
            <w:tcW w:type="dxa" w:w="8160"/>
            <w:tcBorders>
              <w:top w:val="single" w:color="E5E7EB" w:sz="6"/>
              <w:left w:val="single" w:color="E5E7EB" w:sz="6"/>
              <w:bottom w:val="single" w:color="E5E7EB" w:sz="6"/>
              <w:right w:val="single" w:color="E5E7EB" w:sz="6"/>
            </w:tcBorders>
            <w:shd w:fill="FFFFFF" w:val="clear"/>
            <w:tcMar>
              <w:top w:type="dxa" w:w="60"/>
              <w:left w:type="dxa" w:w="140"/>
              <w:bottom w:type="dxa" w:w="60"/>
              <w:right w:type="dxa" w:w="120"/>
            </w:tcMar>
          </w:tcPr>
          <w:p>
            <w:r>
              <w:rPr>
                <w:rFonts w:ascii="Arial" w:cs="Arial" w:eastAsia="Arial" w:hAnsi="Arial"/>
                <w:color w:val="1F2937"/>
                <w:sz w:val="20"/>
                <w:szCs w:val="20"/>
              </w:rPr>
              <w:t xml:space="preserve">Set up automatic monthly investment: choose an amount you won't miss ($200/month minimum, $500+ if possible). Set it to invest on the same date as your paycheck — contribute before you can spend it. Then turn on DRIP (Dividend Reinvestment): go to account settings and enable dividend reinvestment. DRIP automatically buys more shares with every dividend — compounding accelerates.</w:t>
            </w:r>
          </w:p>
        </w:tc>
      </w:tr>
      <w:tr>
        <w:tc>
          <w:tcPr>
            <w:tcW w:type="dxa" w:w="1200"/>
            <w:tcBorders>
              <w:top w:val="none" w:color="FFFFFF" w:sz="0"/>
              <w:left w:val="none" w:color="FFFFFF" w:sz="0"/>
              <w:bottom w:val="none" w:color="FFFFFF" w:sz="0"/>
              <w:right w:val="none" w:color="FFFFFF" w:sz="0"/>
            </w:tcBorders>
            <w:shd w:fill="F4F7FA" w:val="clear"/>
            <w:tcMar>
              <w:top w:type="dxa" w:w="60"/>
              <w:left w:type="dxa" w:w="100"/>
              <w:bottom w:type="dxa" w:w="60"/>
              <w:right w:type="dxa" w:w="80"/>
            </w:tcMar>
            <w:vAlign w:val="center"/>
          </w:tcPr>
          <w:p>
            <w:pPr>
              <w:jc w:val="center"/>
            </w:pPr>
            <w:r>
              <w:rPr>
                <w:rFonts w:ascii="Arial" w:cs="Arial" w:eastAsia="Arial" w:hAnsi="Arial"/>
                <w:b/>
                <w:bCs/>
                <w:color w:val="1A7A4A"/>
                <w:sz w:val="18"/>
                <w:szCs w:val="18"/>
              </w:rPr>
              <w:t xml:space="preserve">Afternoon
30 min</w:t>
            </w:r>
          </w:p>
        </w:tc>
        <w:tc>
          <w:tcPr>
            <w:tcW w:type="dxa" w:w="8160"/>
            <w:tcBorders>
              <w:top w:val="single" w:color="E5E7EB" w:sz="6"/>
              <w:left w:val="single" w:color="E5E7EB" w:sz="6"/>
              <w:bottom w:val="single" w:color="E5E7EB" w:sz="6"/>
              <w:right w:val="single" w:color="E5E7EB" w:sz="6"/>
            </w:tcBorders>
            <w:shd w:fill="FFFFFF" w:val="clear"/>
            <w:tcMar>
              <w:top w:type="dxa" w:w="60"/>
              <w:left w:type="dxa" w:w="140"/>
              <w:bottom w:type="dxa" w:w="60"/>
              <w:right w:type="dxa" w:w="120"/>
            </w:tcMar>
          </w:tcPr>
          <w:p>
            <w:r>
              <w:rPr>
                <w:rFonts w:ascii="Arial" w:cs="Arial" w:eastAsia="Arial" w:hAnsi="Arial"/>
                <w:color w:val="1F2937"/>
                <w:sz w:val="20"/>
                <w:szCs w:val="20"/>
              </w:rPr>
              <w:t xml:space="preserve">Set a calendar reminder: Annual Portfolio Review — one hour, once a year. At that review: check if allocation has drifted more than 5% from target, rebalance if needed, increase automatic contribution by at least 1%, review beneficiary designations. Then delete your brokerage app from your phone's home screen. Daily checking leads to emotional decisions. Emotional decisions cost money.</w:t>
            </w:r>
          </w:p>
        </w:tc>
      </w:tr>
      <w:tr>
        <w:tc>
          <w:tcPr>
            <w:tcW w:type="dxa" w:w="1200"/>
            <w:tcBorders>
              <w:top w:val="none" w:color="FFFFFF" w:sz="0"/>
              <w:left w:val="none" w:color="FFFFFF" w:sz="0"/>
              <w:bottom w:val="none" w:color="FFFFFF" w:sz="0"/>
              <w:right w:val="none" w:color="FFFFFF" w:sz="0"/>
            </w:tcBorders>
            <w:shd w:fill="F4F7FA" w:val="clear"/>
            <w:tcMar>
              <w:top w:type="dxa" w:w="60"/>
              <w:left w:type="dxa" w:w="100"/>
              <w:bottom w:type="dxa" w:w="60"/>
              <w:right w:type="dxa" w:w="80"/>
            </w:tcMar>
            <w:vAlign w:val="center"/>
          </w:tcPr>
          <w:p>
            <w:pPr>
              <w:jc w:val="center"/>
            </w:pPr>
            <w:r>
              <w:rPr>
                <w:rFonts w:ascii="Arial" w:cs="Arial" w:eastAsia="Arial" w:hAnsi="Arial"/>
                <w:b/>
                <w:bCs/>
                <w:color w:val="1A7A4A"/>
                <w:sz w:val="18"/>
                <w:szCs w:val="18"/>
              </w:rPr>
              <w:t xml:space="preserve">Evening
Done</w:t>
            </w:r>
          </w:p>
        </w:tc>
        <w:tc>
          <w:tcPr>
            <w:tcW w:type="dxa" w:w="8160"/>
            <w:tcBorders>
              <w:top w:val="single" w:color="E5E7EB" w:sz="6"/>
              <w:left w:val="single" w:color="E5E7EB" w:sz="6"/>
              <w:bottom w:val="single" w:color="E5E7EB" w:sz="6"/>
              <w:right w:val="single" w:color="E5E7EB" w:sz="6"/>
            </w:tcBorders>
            <w:shd w:fill="FFFFFF" w:val="clear"/>
            <w:tcMar>
              <w:top w:type="dxa" w:w="60"/>
              <w:left w:type="dxa" w:w="140"/>
              <w:bottom w:type="dxa" w:w="60"/>
              <w:right w:type="dxa" w:w="120"/>
            </w:tcMar>
          </w:tcPr>
          <w:p>
            <w:r>
              <w:rPr>
                <w:rFonts w:ascii="Arial" w:cs="Arial" w:eastAsia="Arial" w:hAnsi="Arial"/>
                <w:color w:val="1F2937"/>
                <w:sz w:val="20"/>
                <w:szCs w:val="20"/>
              </w:rPr>
              <w:t xml:space="preserve">You're done. The system is running. Your money is invested in a globally diversified portfolio. New contributions arrive automatically every month. Dividends reinvest automatically. You have a once-a-year review on your calendar. Compounding is now working for you 24 hours a 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27"/>
                <w:szCs w:val="27"/>
              </w:rPr>
              <w:t xml:space="preserve">7 Tips That Separate Wealthy Investors From Everyone Else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Dollar-Cost Averaging Is Your Superpower</w:t>
            </w:r>
          </w:p>
          <w:p>
            <w:pPr>
              <w:spacing w:before="40" w:after="0"/>
            </w:pPr>
            <w:r>
              <w:rPr>
                <w:rFonts w:ascii="Arial" w:cs="Arial" w:eastAsia="Arial" w:hAnsi="Arial"/>
                <w:color w:val="1F2937"/>
                <w:sz w:val="20"/>
                <w:szCs w:val="20"/>
              </w:rPr>
              <w:t xml:space="preserve">Investing a fixed amount monthly — regardless of whether the market is up or down — means you automatically buy more shares when prices are low and fewer when prices are high. Over time, your average cost per share is lower than the average price. The automatic monthly contribution you set up Sunday is dollar-cost averaging in action.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1% Annual Increase Rule</w:t>
            </w:r>
          </w:p>
          <w:p>
            <w:pPr>
              <w:spacing w:before="40" w:after="0"/>
            </w:pPr>
            <w:r>
              <w:rPr>
                <w:rFonts w:ascii="Arial" w:cs="Arial" w:eastAsia="Arial" w:hAnsi="Arial"/>
                <w:color w:val="1F2937"/>
                <w:sz w:val="20"/>
                <w:szCs w:val="20"/>
              </w:rPr>
              <w:t xml:space="preserve">Every year at your annual review, increase your automatic contribution by 1% of your income. If you earn $80,000 and currently invest $400/month (6%), next year invest $467/month (7%). The increase is small enough to be invisible in your budget, but the compounding effect over 20 years is massive. Set it on autopilot in your brokerage's settings.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Rebalance Annually, Not Monthly</w:t>
            </w:r>
          </w:p>
          <w:p>
            <w:pPr>
              <w:spacing w:before="40" w:after="0"/>
            </w:pPr>
            <w:r>
              <w:rPr>
                <w:rFonts w:ascii="Arial" w:cs="Arial" w:eastAsia="Arial" w:hAnsi="Arial"/>
                <w:color w:val="1F2937"/>
                <w:sz w:val="20"/>
                <w:szCs w:val="20"/>
              </w:rPr>
              <w:t xml:space="preserve">Checking and rebalancing monthly leads to transaction costs, tax events in taxable accounts, and emotional decision-making. Once a year — same month, same process — check if your allocation has drifted more than 5% from target. Annual rebalancing captures gains and enforces the 'sell high, buy low' discipline automatically.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Stop Checking Your Portfolio Daily</w:t>
            </w:r>
          </w:p>
          <w:p>
            <w:pPr>
              <w:spacing w:before="40" w:after="0"/>
            </w:pPr>
            <w:r>
              <w:rPr>
                <w:rFonts w:ascii="Arial" w:cs="Arial" w:eastAsia="Arial" w:hAnsi="Arial"/>
                <w:color w:val="1F2937"/>
                <w:sz w:val="20"/>
                <w:szCs w:val="20"/>
              </w:rPr>
              <w:t xml:space="preserve">A portfolio of index funds will drop 20–40% during a bear market. That's normal. That's expected. That has happened in every decade for 100 years — and the market has always recovered to new highs. Investors who checked daily during 2008–2009 and sold at the bottom locked in permanent losses. Check quarterly at most. Annually is better.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Never Try to Beat the Market</w:t>
            </w:r>
          </w:p>
          <w:p>
            <w:pPr>
              <w:spacing w:before="40" w:after="0"/>
            </w:pPr>
            <w:r>
              <w:rPr>
                <w:rFonts w:ascii="Arial" w:cs="Arial" w:eastAsia="Arial" w:hAnsi="Arial"/>
                <w:color w:val="1F2937"/>
                <w:sz w:val="20"/>
                <w:szCs w:val="20"/>
              </w:rPr>
              <w:t xml:space="preserve">You won't. Not consistently. Not over 20 years. The data is overwhelming. The moment you start buying individual stocks or sector ETFs because you think you see an opportunity — you're playing a game where 88% of professionals lose. Own the whole market. Pay minimal fees. Hold forever. Deviating from it costs money.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#6</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Power of Not Selling in a Crash</w:t>
            </w:r>
          </w:p>
          <w:p>
            <w:pPr>
              <w:spacing w:before="40" w:after="0"/>
            </w:pPr>
            <w:r>
              <w:rPr>
                <w:rFonts w:ascii="Arial" w:cs="Arial" w:eastAsia="Arial" w:hAnsi="Arial"/>
                <w:color w:val="1F2937"/>
                <w:sz w:val="20"/>
                <w:szCs w:val="20"/>
              </w:rPr>
              <w:t xml:space="preserve">A $100,000 portfolio that drops 40% to $60,000 needs to gain 67% to recover — which sounds impossible until you realize the S&amp;P 500 has never failed to recover from any crash. The investors who build generational wealth are not the ones who predicted the crash. They're the ones who held through it. The crash is a sale on assets you're automatically buying more of each month through DCA.</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#7</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Tax-Loss Harvesting in Taxable Accounts</w:t>
            </w:r>
          </w:p>
          <w:p>
            <w:pPr>
              <w:spacing w:before="40" w:after="0"/>
            </w:pPr>
            <w:r>
              <w:rPr>
                <w:rFonts w:ascii="Arial" w:cs="Arial" w:eastAsia="Arial" w:hAnsi="Arial"/>
                <w:color w:val="1F2937"/>
                <w:sz w:val="20"/>
                <w:szCs w:val="20"/>
              </w:rPr>
              <w:t xml:space="preserve">In a taxable brokerage account, when a fund drops below your purchase price, you can sell it at a loss and immediately buy a similar (but not identical) fund. Example: FSKAX drops 15%. Sell it, harvest the loss, and immediately buy VTI. Your tax exposure decreases, your portfolio is essentially unchanged, and you carry the loss forward to offset future gains. Available only in taxable accounts.</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7F79"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5 Hacks That Compound Your Advantage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Backdoor Roth for High Earners</w:t>
            </w:r>
          </w:p>
          <w:p>
            <w:pPr>
              <w:spacing w:before="40" w:after="0"/>
            </w:pPr>
            <w:r>
              <w:rPr>
                <w:rFonts w:ascii="Arial" w:cs="Arial" w:eastAsia="Arial" w:hAnsi="Arial"/>
                <w:color w:val="1F2937"/>
                <w:sz w:val="20"/>
                <w:szCs w:val="20"/>
              </w:rPr>
              <w:t xml:space="preserve">If your income exceeds the Roth IRA limit (~$161K single / ~$240K married), contribute $7,000 to a nondeductible traditional IRA, then immediately convert it to a Roth IRA. Tax owed on conversion: near zero (you contributed after-tax dollars). This is the backdoor Roth — legal, widely used, and available to anyone regardless of income. File Form 8606 annually to track your basis.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1B2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Roth IRA Contribution Deadline Trick</w:t>
            </w:r>
          </w:p>
          <w:p>
            <w:pPr>
              <w:spacing w:before="40" w:after="0"/>
            </w:pPr>
            <w:r>
              <w:rPr>
                <w:rFonts w:ascii="Arial" w:cs="Arial" w:eastAsia="Arial" w:hAnsi="Arial"/>
                <w:color w:val="1F2937"/>
                <w:sz w:val="20"/>
                <w:szCs w:val="20"/>
              </w:rPr>
              <w:t xml:space="preserve">The Roth IRA contribution deadline for any tax year is April 15 of the following year — not December 31. If you open your account in January 2025, you can immediately make two years' worth of contributions: $7,000 for 2024 and $7,000 for 2025. That's $14,000 in a Roth IRA in January — with two years of tax-free compounding starting immediately. Most people don't know this and leave a year of contributions unclaimed.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Fidelity ZERO Funds — 0.00% Expense Ratio</w:t>
            </w:r>
          </w:p>
          <w:p>
            <w:pPr>
              <w:spacing w:before="40" w:after="0"/>
            </w:pPr>
            <w:r>
              <w:rPr>
                <w:rFonts w:ascii="Arial" w:cs="Arial" w:eastAsia="Arial" w:hAnsi="Arial"/>
                <w:color w:val="1F2937"/>
                <w:sz w:val="20"/>
                <w:szCs w:val="20"/>
              </w:rPr>
              <w:t xml:space="preserve">Fidelity offers four index funds with literally zero expense ratio: FZROX (US Total Market), FZILX (International), FZESX (Extended Market), and FZIPX (International ex-US). No other brokerage offers this. On a $200,000 portfolio, the difference between 0.00% and 0.04% is $80/year — small but real and compounding. Caveat: these funds cannot be transferred to another brokerage — you'd need to sell and repurchase, potentially triggering tax events.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Invest Your HSA Instead of Spending It</w:t>
            </w:r>
          </w:p>
          <w:p>
            <w:pPr>
              <w:spacing w:before="40" w:after="0"/>
            </w:pPr>
            <w:r>
              <w:rPr>
                <w:rFonts w:ascii="Arial" w:cs="Arial" w:eastAsia="Arial" w:hAnsi="Arial"/>
                <w:color w:val="1F2937"/>
                <w:sz w:val="20"/>
                <w:szCs w:val="20"/>
              </w:rPr>
              <w:t xml:space="preserve">Most people treat their HSA like a healthcare checking account. That's the wrong move. An HSA invested in index funds and left untouched becomes a third retirement account with triple tax advantages. Pay medical expenses out of pocket today (keep every receipt). Let the HSA compound. At retirement, reimburse yourself for decades of documented medical expenses — tax-free cash whenever you want 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Lump Sum vs. DCA — What the Data Actually Shows</w:t>
            </w:r>
          </w:p>
          <w:p>
            <w:pPr>
              <w:spacing w:before="40" w:after="0"/>
            </w:pPr>
            <w:r>
              <w:rPr>
                <w:rFonts w:ascii="Arial" w:cs="Arial" w:eastAsia="Arial" w:hAnsi="Arial"/>
                <w:color w:val="1F2937"/>
                <w:sz w:val="20"/>
                <w:szCs w:val="20"/>
              </w:rPr>
              <w:t xml:space="preserve">Academic research consistently shows that lump sum investing (investing all available cash immediately) outperforms dollar-cost averaging approximately 2/3 of the time — because markets go up more often than they go down. If you have $50,000 in a savings account today, the data says: invest it all now. That said, if a lump sum will cause you to check daily and panic, DCA is the right behavioral choice even if it's not the mathematically optimal one. The best strategy is the one you'll actually stick to.</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53E"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Wealth Destroyers to Avoid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Waiting for the 'Right Time'</w:t>
            </w:r>
          </w:p>
          <w:p>
            <w:pPr>
              <w:spacing w:before="40" w:after="0"/>
            </w:pPr>
            <w:r>
              <w:rPr>
                <w:rFonts w:ascii="Arial" w:cs="Arial" w:eastAsia="Arial" w:hAnsi="Arial"/>
                <w:color w:val="1F2937"/>
                <w:sz w:val="20"/>
                <w:szCs w:val="20"/>
              </w:rPr>
              <w:t xml:space="preserve">The market always feels uncertain. There has never been a moment in history when the market felt obviously safe to buy. The people who waited in 2009, 2011, 2016, 2020 missed some of the best buying opportunities in modern history. Time in the market beats timing the market — every study, every decade, for 100 years.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Selling During a Crash</w:t>
            </w:r>
          </w:p>
          <w:p>
            <w:pPr>
              <w:spacing w:before="40" w:after="0"/>
            </w:pPr>
            <w:r>
              <w:rPr>
                <w:rFonts w:ascii="Arial" w:cs="Arial" w:eastAsia="Arial" w:hAnsi="Arial"/>
                <w:color w:val="1F2937"/>
                <w:sz w:val="20"/>
                <w:szCs w:val="20"/>
              </w:rPr>
              <w:t xml:space="preserve">The only way to permanently lose money in a diversified index portfolio is to sell during a downturn and not buy back in at the lows. A 40% drop is temporary — unless you sell and lock it in. The market has recovered from every crash in S&amp;P 500 history. Your job during a crash is to do nothing. Keep your automatic contributions running. Let DCA buy more shares at lower prices.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Chasing Last Year's Winners</w:t>
            </w:r>
          </w:p>
          <w:p>
            <w:pPr>
              <w:spacing w:before="40" w:after="0"/>
            </w:pPr>
            <w:r>
              <w:rPr>
                <w:rFonts w:ascii="Arial" w:cs="Arial" w:eastAsia="Arial" w:hAnsi="Arial"/>
                <w:color w:val="1F2937"/>
                <w:sz w:val="20"/>
                <w:szCs w:val="20"/>
              </w:rPr>
              <w:t xml:space="preserve">The fund that returned 40% last year is not likely to return 40% next year. Performance chasing — moving money into whatever performed best recently — is one of the most reliably bad investing strategies. It buys high and systematically misses recoveries. Three-fund index investors never face this temptation because the portfolio owns everything and rebalancing automatically sells the winners and buys the laggards.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High-Fee Funds</w:t>
            </w:r>
          </w:p>
          <w:p>
            <w:pPr>
              <w:spacing w:before="40" w:after="0"/>
            </w:pPr>
            <w:r>
              <w:rPr>
                <w:rFonts w:ascii="Arial" w:cs="Arial" w:eastAsia="Arial" w:hAnsi="Arial"/>
                <w:color w:val="1F2937"/>
                <w:sz w:val="20"/>
                <w:szCs w:val="20"/>
              </w:rPr>
              <w:t xml:space="preserve">A 1% expense ratio on a $300,000 portfolio is $3,000/year in fees — every year — forever. Over 30 years at 7% return, the difference between a 0.03% fund and a 1.0% fund is over $200,000 in final portfolio value. Check the expense ratio before buying any fund. Anything above 0.20% requires a compelling justification. Most don't have one.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Not Increasing Contributions As Income Grows</w:t>
            </w:r>
          </w:p>
          <w:p>
            <w:pPr>
              <w:spacing w:before="40" w:after="0"/>
            </w:pPr>
            <w:r>
              <w:rPr>
                <w:rFonts w:ascii="Arial" w:cs="Arial" w:eastAsia="Arial" w:hAnsi="Arial"/>
                <w:color w:val="1F2937"/>
                <w:sz w:val="20"/>
                <w:szCs w:val="20"/>
              </w:rPr>
              <w:t xml:space="preserve">Lifestyle inflation is the enemy of wealth. When income increases, most people increase spending proportionally. The wealth-building move: increase your investment contribution by at least 50% of every raise before adjusting your lifestyle. If you get a $500/month raise, send $250 to your investment accounts and keep $250 for lifestyle. Repeat every raise.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#6</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Ignoring Tax-Advantaged Accounts</w:t>
            </w:r>
          </w:p>
          <w:p>
            <w:pPr>
              <w:spacing w:before="40" w:after="0"/>
            </w:pPr>
            <w:r>
              <w:rPr>
                <w:rFonts w:ascii="Arial" w:cs="Arial" w:eastAsia="Arial" w:hAnsi="Arial"/>
                <w:color w:val="1F2937"/>
                <w:sz w:val="20"/>
                <w:szCs w:val="20"/>
              </w:rPr>
              <w:t xml:space="preserve">Investing in a taxable brokerage account before maxing a Roth IRA is leaving tax-free growth on the table. A dollar in a Roth IRA at 7% for 30 years = $7.61 tax-free. The same dollar in a taxable account = ~$5.50 after capital gains tax. Max the tax-advantaged accounts first — always.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#7</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Getting Investment Advice From Social Media</w:t>
            </w:r>
          </w:p>
          <w:p>
            <w:pPr>
              <w:spacing w:before="40" w:after="0"/>
            </w:pPr>
            <w:r>
              <w:rPr>
                <w:rFonts w:ascii="Arial" w:cs="Arial" w:eastAsia="Arial" w:hAnsi="Arial"/>
                <w:color w:val="1F2937"/>
                <w:sz w:val="20"/>
                <w:szCs w:val="20"/>
              </w:rPr>
              <w:t xml:space="preserve">WallStreetBets, TikTok investing influencers, Reddit threads about the next 10x stock — these are entertainment, not investing strategy. The average retail investor who trades individual stocks significantly underperforms the S&amp;P 500. The three-fund portfolio in a Roth IRA has no equivalent on social media because it's boring. Boring is correct. Boring builds wealth.</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28"/>
                <w:szCs w:val="28"/>
              </w:rPr>
              <w:t xml:space="preserve">You're Not Saving Anymore. You're Compounding.</w:t>
            </w:r>
          </w:p>
        </w:tc>
      </w:tr>
    </w:tbl>
    <w:p>
      <w:pPr>
        <w:spacing w:before="120" w:after="0"/>
      </w:pPr>
    </w:p>
    <w:p>
      <w:pPr>
        <w:spacing w:before="60" w:after="60"/>
        <w:jc w:val="both"/>
      </w:pPr>
      <w:r>
        <w:rPr>
          <w:rFonts w:ascii="Arial" w:cs="Arial" w:eastAsia="Arial" w:hAnsi="Arial"/>
          <w:color w:val="1F2937"/>
          <w:sz w:val="22"/>
          <w:szCs w:val="22"/>
        </w:rPr>
        <w:t xml:space="preserve">There's a difference between someone with $50,000 in a savings account and someone with $50,000 in a diversified index portfolio. The dollar amount is the same on Monday morning. In 20 years, it won't be.</w:t>
      </w:r>
    </w:p>
    <w:p>
      <w:pPr>
        <w:spacing w:before="80" w:after="0"/>
      </w:pPr>
    </w:p>
    <w:p>
      <w:pPr>
        <w:spacing w:before="60" w:after="60"/>
        <w:jc w:val="both"/>
      </w:pPr>
      <w:r>
        <w:rPr>
          <w:rFonts w:ascii="Arial" w:cs="Arial" w:eastAsia="Arial" w:hAnsi="Arial"/>
          <w:color w:val="1F2937"/>
          <w:sz w:val="22"/>
          <w:szCs w:val="22"/>
        </w:rPr>
        <w:t xml:space="preserve">The person with the index portfolio did one weekend of setup and then walked away. They didn't watch the market daily. They didn't pick stocks. They didn't time anything. They just bought the whole market, set up automatic contributions, turned on DRIP, and went back to living their life.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8E7" w:val="clear"/>
            <w:tcMar>
              <w:top w:type="dxa" w:w="160"/>
              <w:left w:type="dxa" w:w="240"/>
              <w:bottom w:type="dxa" w:w="160"/>
              <w:right w:type="dxa" w:w="240"/>
            </w:tcMar>
          </w:tcPr>
          <w:p>
            <w:pPr>
              <w:spacing w:before="50" w:after="50"/>
              <w:jc w:val="center"/>
            </w:pPr>
            <w:r>
              <w:rPr>
                <w:rFonts w:ascii="Arial" w:cs="Arial" w:eastAsia="Arial" w:hAnsi="Arial"/>
                <w:b/>
                <w:bCs/>
                <w:color w:val="0D1B2A"/>
                <w:sz w:val="26"/>
                <w:szCs w:val="26"/>
              </w:rPr>
              <w:t xml:space="preserve">One weekend of setup. Decades of compounding.</w:t>
            </w:r>
          </w:p>
          <w:p>
            <w:pPr>
              <w:spacing w:before="50" w:after="50"/>
              <w:jc w:val="center"/>
            </w:pPr>
            <w:r>
              <w:rPr>
                <w:rFonts w:ascii="Arial" w:cs="Arial" w:eastAsia="Arial" w:hAnsi="Arial"/>
                <w:b w:val="false"/>
                <w:bCs w:val="false"/>
                <w:color w:val="0D1B2A"/>
                <w:sz w:val="22"/>
                <w:szCs w:val="22"/>
              </w:rPr>
              <w:t xml:space="preserve">The system doesn't require you to be smart. It doesn't require you to watch the news. It doesn't require a financial advisor taking 1% of your assets every year to tell you what you now already know.</w:t>
            </w:r>
          </w:p>
          <w:p>
            <w:pPr>
              <w:spacing w:before="50" w:after="50"/>
              <w:jc w:val="center"/>
            </w:pPr>
            <w:r>
              <w:rPr>
                <w:rFonts w:ascii="Arial" w:cs="Arial" w:eastAsia="Arial" w:hAnsi="Arial"/>
                <w:b/>
                <w:bCs/>
                <w:color w:val="0D1B2A"/>
                <w:sz w:val="24"/>
                <w:szCs w:val="24"/>
              </w:rPr>
              <w:t xml:space="preserve">It requires one thing: starting.</w:t>
            </w:r>
          </w:p>
        </w:tc>
      </w:tr>
    </w:tbl>
    <w:p>
      <w:pPr>
        <w:spacing w:before="120" w:after="0"/>
      </w:pPr>
    </w:p>
    <w:p>
      <w:pPr>
        <w:spacing w:before="100" w:after="60"/>
      </w:pPr>
      <w:r>
        <w:rPr>
          <w:rFonts w:ascii="Arial" w:cs="Arial" w:eastAsia="Arial" w:hAnsi="Arial"/>
          <w:b/>
          <w:bCs/>
          <w:color w:val="0D1B2A"/>
          <w:sz w:val="24"/>
          <w:szCs w:val="24"/>
        </w:rPr>
        <w:t xml:space="preserve">Your Next Move:</w:t>
      </w:r>
    </w:p>
    <w:p>
      <w:pPr>
        <w:pStyle w:val="ListParagraph"/>
        <w:numPr>
          <w:ilvl w:val="0"/>
          <w:numId w:val="3"/>
        </w:numPr>
        <w:spacing w:before="40" w:after="40"/>
      </w:pPr>
      <w:r>
        <w:rPr>
          <w:rFonts w:ascii="Arial" w:cs="Arial" w:eastAsia="Arial" w:hAnsi="Arial"/>
          <w:color w:val="1F2937"/>
          <w:sz w:val="22"/>
          <w:szCs w:val="22"/>
        </w:rPr>
        <w:t xml:space="preserve">Choose your brokerage — Fidelity if you're not sure</w:t>
      </w:r>
    </w:p>
    <w:p>
      <w:pPr>
        <w:pStyle w:val="ListParagraph"/>
        <w:numPr>
          <w:ilvl w:val="0"/>
          <w:numId w:val="4"/>
        </w:numPr>
        <w:spacing w:before="40" w:after="40"/>
      </w:pPr>
      <w:r>
        <w:rPr>
          <w:rFonts w:ascii="Arial" w:cs="Arial" w:eastAsia="Arial" w:hAnsi="Arial"/>
          <w:color w:val="1F2937"/>
          <w:sz w:val="22"/>
          <w:szCs w:val="22"/>
        </w:rPr>
        <w:t xml:space="preserve">Open a Roth IRA this Saturday morning (takes 15 minutes)</w:t>
      </w:r>
    </w:p>
    <w:p>
      <w:pPr>
        <w:pStyle w:val="ListParagraph"/>
        <w:numPr>
          <w:ilvl w:val="0"/>
          <w:numId w:val="5"/>
        </w:numPr>
        <w:spacing w:before="40" w:after="40"/>
      </w:pPr>
      <w:r>
        <w:rPr>
          <w:rFonts w:ascii="Arial" w:cs="Arial" w:eastAsia="Arial" w:hAnsi="Arial"/>
          <w:color w:val="1F2937"/>
          <w:sz w:val="22"/>
          <w:szCs w:val="22"/>
        </w:rPr>
        <w:t xml:space="preserve">Fund it — even $1,000 to start</w:t>
      </w:r>
    </w:p>
    <w:p>
      <w:pPr>
        <w:pStyle w:val="ListParagraph"/>
        <w:numPr>
          <w:ilvl w:val="0"/>
          <w:numId w:val="6"/>
        </w:numPr>
        <w:spacing w:before="40" w:after="40"/>
      </w:pPr>
      <w:r>
        <w:rPr>
          <w:rFonts w:ascii="Arial" w:cs="Arial" w:eastAsia="Arial" w:hAnsi="Arial"/>
          <w:color w:val="1F2937"/>
          <w:sz w:val="22"/>
          <w:szCs w:val="22"/>
        </w:rPr>
        <w:t xml:space="preserve">Buy your first index fund — FSKAX for simplicity, or FZROX for zero fees</w:t>
      </w:r>
    </w:p>
    <w:p>
      <w:pPr>
        <w:pStyle w:val="ListParagraph"/>
        <w:numPr>
          <w:ilvl w:val="0"/>
          <w:numId w:val="7"/>
        </w:numPr>
        <w:spacing w:before="40" w:after="40"/>
      </w:pPr>
      <w:r>
        <w:rPr>
          <w:rFonts w:ascii="Arial" w:cs="Arial" w:eastAsia="Arial" w:hAnsi="Arial"/>
          <w:color w:val="1F2937"/>
          <w:sz w:val="22"/>
          <w:szCs w:val="22"/>
        </w:rPr>
        <w:t xml:space="preserve">Set up a $200/month automatic investment before Sunday ends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0D1B2A" w:val="clear"/>
            <w:tcMar>
              <w:top w:type="dxa" w:w="200"/>
              <w:left w:type="dxa" w:w="320"/>
              <w:bottom w:type="dxa" w:w="200"/>
              <w:right w:type="dxa" w:w="320"/>
            </w:tcMar>
          </w:tcPr>
          <w:p>
            <w:pPr>
              <w:jc w:val="center"/>
            </w:pPr>
            <w:r>
              <w:rPr>
                <w:rFonts w:ascii="Arial" w:cs="Arial" w:eastAsia="Arial" w:hAnsi="Arial"/>
                <w:b/>
                <w:bCs/>
                <w:color w:val="FFFFFF"/>
                <w:sz w:val="24"/>
                <w:szCs w:val="24"/>
              </w:rPr>
              <w:t xml:space="preserve">The market opens Monday.</w:t>
            </w:r>
          </w:p>
          <w:p>
            <w:pPr>
              <w:spacing w:before="80" w:after="0"/>
              <w:jc w:val="center"/>
            </w:pPr>
            <w:r>
              <w:rPr>
                <w:rFonts w:ascii="Arial" w:cs="Arial" w:eastAsia="Arial" w:hAnsi="Arial"/>
                <w:b/>
                <w:bCs/>
                <w:color w:val="F5A623"/>
                <w:sz w:val="30"/>
                <w:szCs w:val="30"/>
              </w:rPr>
              <w:t xml:space="preserve">You could be an investor by then.</w:t>
            </w:r>
          </w:p>
          <w:p>
            <w:pPr>
              <w:spacing w:before="60" w:after="0"/>
              <w:jc w:val="center"/>
            </w:pPr>
            <w:r>
              <w:rPr>
                <w:rFonts w:ascii="Arial" w:cs="Arial" w:eastAsia="Arial" w:hAnsi="Arial"/>
                <w:color w:val="E5E7EB"/>
                <w:sz w:val="22"/>
                <w:szCs w:val="22"/>
              </w:rPr>
              <w:t xml:space="preserve">The best time to start was 10 years ago. The second best time is this weekend.</w:t>
            </w:r>
          </w:p>
        </w:tc>
      </w:tr>
    </w:tbl>
    <w:p>
      <w:pPr>
        <w:spacing w:before="120" w:after="0"/>
      </w:pPr>
    </w:p>
    <w:p>
      <w:pPr>
        <w:spacing w:before="60" w:after="60"/>
        <w:jc w:val="center"/>
      </w:pPr>
      <w:r>
        <w:rPr>
          <w:rFonts w:ascii="Arial" w:cs="Arial" w:eastAsia="Arial" w:hAnsi="Arial"/>
          <w:color w:val="1F2937"/>
          <w:sz w:val="22"/>
          <w:szCs w:val="22"/>
        </w:rPr>
        <w:t xml:space="preserve">Part of the Wealth &amp; Personal Finance transformation series.</w:t>
      </w:r>
    </w:p>
    <w:p>
      <w:pPr>
        <w:spacing w:before="40" w:after="0"/>
      </w:pPr>
    </w:p>
    <w:p>
      <w:pPr>
        <w:spacing w:before="60" w:after="60"/>
        <w:jc w:val="center"/>
      </w:pPr>
      <w:r>
        <w:rPr>
          <w:rFonts w:ascii="Arial" w:cs="Arial" w:eastAsia="Arial" w:hAnsi="Arial"/>
          <w:color w:val="1F2937"/>
          <w:sz w:val="22"/>
          <w:szCs w:val="22"/>
        </w:rPr>
        <w:t xml:space="preserve">Cash in Blue LLC  |  Thomas Perdana  |  thomas.perdana@cashinblue.com  |  cashinblue.com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1"/>
      </w:pBdr>
      <w:spacing w:before="120" w:after="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The Autopilot Portfolio  |  © Cash in Blue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F79" w:sz="6" w:space="1"/>
      </w:pBdr>
      <w:tabs>
        <w:tab w:val="right" w:pos="9026"/>
      </w:tabs>
      <w:spacing w:before="0" w:after="120"/>
    </w:pPr>
    <w:r>
      <w:rPr>
        <w:rFonts w:ascii="Arial" w:cs="Arial" w:eastAsia="Arial" w:hAnsi="Arial"/>
        <w:b/>
        <w:bCs/>
        <w:color w:val="0D1B2A"/>
        <w:sz w:val="18"/>
        <w:szCs w:val="18"/>
      </w:rPr>
      <w:t xml:space="preserve">THE AUTOPILOT PORTFOLIO</w:t>
    </w:r>
    <w:r>
      <w:rPr>
        <w:rFonts w:ascii="Arial" w:cs="Arial" w:eastAsia="Arial" w:hAnsi="Arial"/>
        <w:color w:val="6B7280"/>
        <w:sz w:val="18"/>
        <w:szCs w:val="18"/>
      </w:rPr>
      <w:t xml:space="preserve">	Cash in Blue LLC  |  cashinblue.com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B7F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2026-03-31T12:05:48.130Z</dcterms:created>
  <dcterms:modified xsi:type="dcterms:W3CDTF">2026-03-31T12:05:48.131Z</dcterms:modified>
</cp:coreProperties>
</file>

<file path=docProps/custom.xml><?xml version="1.0" encoding="utf-8"?>
<Properties xmlns="http://schemas.openxmlformats.org/officeDocument/2006/custom-properties" xmlns:vt="http://schemas.openxmlformats.org/officeDocument/2006/docPropsVTypes"/>
</file>