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jc w:val="center"/>
      </w:pPr>
      <w:r>
        <w:rPr>
          <w:rFonts w:ascii="Arial" w:cs="Arial" w:eastAsia="Arial" w:hAnsi="Arial"/>
          <w:b/>
          <w:bCs/>
          <w:color w:val="1B3A6B"/>
          <w:sz w:val="72"/>
          <w:szCs w:val="72"/>
        </w:rPr>
        <w:t xml:space="preserve">THE FIRST 100K BLUEPRINT</w:t>
      </w:r>
    </w:p>
    <w:p>
      <w:pPr>
        <w:spacing w:after="0" w:before="160"/>
        <w:jc w:val="center"/>
      </w:pPr>
      <w:r>
        <w:rPr>
          <w:rFonts w:ascii="Arial" w:cs="Arial" w:eastAsia="Arial" w:hAnsi="Arial"/>
          <w:b/>
          <w:bCs/>
          <w:color w:val="0E7C86"/>
          <w:sz w:val="28"/>
          <w:szCs w:val="28"/>
        </w:rPr>
        <w:t xml:space="preserve">Go From $0 to $100,000 in Net Worth in 3 Years on an Average Income</w:t>
      </w:r>
    </w:p>
    <w:p>
      <w:pPr>
        <w:spacing w:after="0" w:before="80"/>
        <w:jc w:val="center"/>
      </w:pPr>
      <w:r>
        <w:rPr>
          <w:rFonts w:ascii="Arial" w:cs="Arial" w:eastAsia="Arial" w:hAnsi="Arial"/>
          <w:color w:val="666666"/>
          <w:sz w:val="22"/>
          <w:szCs w:val="22"/>
        </w:rPr>
        <w:t xml:space="preserve">Using the Exact Savings Rate, Investment Order, and Debt Payoff Sequence That Actually Works</w:t>
      </w:r>
    </w:p>
    <w:p>
      <w:pPr>
        <w:pBdr>
          <w:bottom w:val="single" w:color="C9A82C" w:sz="8" w:space="4"/>
        </w:pBdr>
        <w:spacing w:after="480" w:before="240"/>
        <w:jc w:val="center"/>
      </w:pPr>
      <w:r>
        <w:t xml:space="preserve"/>
      </w:r>
    </w:p>
    <w:p>
      <w:pPr>
        <w:pStyle w:val="Heading1"/>
        <w:spacing w:after="180" w:before="440"/>
      </w:pPr>
      <w:r>
        <w:rPr>
          <w:rFonts w:ascii="Arial" w:cs="Arial" w:eastAsia="Arial" w:hAnsi="Arial"/>
          <w:b/>
          <w:bCs/>
          <w:color w:val="1B3A6B"/>
          <w:sz w:val="36"/>
          <w:szCs w:val="36"/>
        </w:rPr>
        <w:t xml:space="preserve">Why Munger Was Right — and Why This Number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first $100,000 is a bitch — but you have to do it.”</w:t>
            </w:r>
          </w:p>
          <w:p>
            <w:pPr>
              <w:spacing w:after="60" w:before="60"/>
            </w:pPr>
            <w:r>
              <w:rPr>
                <w:rFonts w:ascii="Arial" w:cs="Arial" w:eastAsia="Arial" w:hAnsi="Arial"/>
                <w:i/>
                <w:iCs/>
                <w:color w:val="666666"/>
                <w:sz w:val="22"/>
                <w:szCs w:val="22"/>
              </w:rPr>
              <w:t xml:space="preserve">— Charlie Munger</w:t>
            </w:r>
          </w:p>
        </w:tc>
      </w:tr>
    </w:tbl>
    <w:p>
      <w:pPr>
        <w:spacing w:after="0" w:before="120"/>
      </w:pPr>
      <w:r>
        <w:t xml:space="preserve"/>
      </w:r>
    </w:p>
    <w:p>
      <w:pPr>
        <w:spacing w:after="80" w:before="80"/>
      </w:pPr>
      <w:r>
        <w:rPr>
          <w:rFonts w:ascii="Arial" w:cs="Arial" w:eastAsia="Arial" w:hAnsi="Arial"/>
          <w:color w:val="2D2D2D"/>
          <w:sz w:val="22"/>
          <w:szCs w:val="22"/>
        </w:rPr>
        <w:t xml:space="preserve">The first $100,000 is the hardest wealth milestone you will ever hit. Not because the math is complicated. Because at that level, you are the engine. Compounding is not doing meaningful work yet.</w:t>
      </w:r>
    </w:p>
    <w:p>
      <w:pPr>
        <w:spacing w:after="0" w:before="100"/>
      </w:pPr>
      <w:r>
        <w:t xml:space="preserve"/>
      </w:r>
    </w:p>
    <w:p>
      <w:pPr>
        <w:spacing w:after="80" w:before="80"/>
      </w:pPr>
      <w:r>
        <w:rPr>
          <w:rFonts w:ascii="Arial" w:cs="Arial" w:eastAsia="Arial" w:hAnsi="Arial"/>
          <w:color w:val="2D2D2D"/>
          <w:sz w:val="22"/>
          <w:szCs w:val="22"/>
        </w:rPr>
        <w:t xml:space="preserve">At $10,000 invested, a 7% annual return adds $700 to your net worth. You saved that $700 in two weeks of effort. The math isn’t helping you much.</w:t>
      </w:r>
    </w:p>
    <w:p>
      <w:pPr>
        <w:spacing w:after="0" w:before="100"/>
      </w:pPr>
      <w:r>
        <w:t xml:space="preserve"/>
      </w:r>
    </w:p>
    <w:p>
      <w:pPr>
        <w:spacing w:after="80" w:before="80"/>
      </w:pPr>
      <w:r>
        <w:rPr>
          <w:rFonts w:ascii="Arial" w:cs="Arial" w:eastAsia="Arial" w:hAnsi="Arial"/>
          <w:color w:val="2D2D2D"/>
          <w:sz w:val="22"/>
          <w:szCs w:val="22"/>
        </w:rPr>
        <w:t xml:space="preserve">At $100,000 invested, a 7% return adds $7,000 per year — roughly equivalent to a meaningful raise. At $200,000, it’s $14,000. At $500,000, it’s $35,000/year appearing without you doing anything.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Before $100K, you’re mostly alone. After $100K, compounding becomes your co-pilot.</w:t>
            </w:r>
          </w:p>
        </w:tc>
      </w:tr>
    </w:tbl>
    <w:p>
      <w:pPr>
        <w:spacing w:after="0" w:before="100"/>
      </w:pPr>
      <w:r>
        <w:t xml:space="preserve"/>
      </w:r>
    </w:p>
    <w:p>
      <w:pPr>
        <w:spacing w:after="80" w:before="80"/>
      </w:pPr>
      <w:r>
        <w:rPr>
          <w:rFonts w:ascii="Arial" w:cs="Arial" w:eastAsia="Arial" w:hAnsi="Arial"/>
          <w:color w:val="2D2D2D"/>
          <w:sz w:val="22"/>
          <w:szCs w:val="22"/>
        </w:rPr>
        <w:t xml:space="preserve">This blueprint gives you the exact system: the savings rate targets, the debt-vs-invest sequence, the phase structure, and the specific moves in the specific order. No vague advice. No motivational filler. Just the blueprint.</w:t>
      </w:r>
    </w:p>
    <w:p>
      <w:pPr>
        <w:spacing w:after="0" w:before="200"/>
      </w:pPr>
      <w:r>
        <w:t xml:space="preserve"/>
      </w:r>
    </w:p>
    <w:p>
      <w:pPr>
        <w:pStyle w:val="Heading1"/>
        <w:spacing w:after="180" w:before="440"/>
      </w:pPr>
      <w:r>
        <w:rPr>
          <w:rFonts w:ascii="Arial" w:cs="Arial" w:eastAsia="Arial" w:hAnsi="Arial"/>
          <w:b/>
          <w:bCs/>
          <w:color w:val="1B3A6B"/>
          <w:sz w:val="36"/>
          <w:szCs w:val="36"/>
        </w:rPr>
        <w:t xml:space="preserve">Net Worth: The Only Number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6"/>
                <w:szCs w:val="26"/>
              </w:rPr>
              <w:t xml:space="preserve">Net Worth = Total Assets − Total Liabilities</w:t>
            </w:r>
          </w:p>
        </w:tc>
      </w:tr>
    </w:tbl>
    <w:p>
      <w:pPr>
        <w:spacing w:after="0" w:before="120"/>
      </w:pPr>
      <w:r>
        <w:t xml:space="preserve"/>
      </w:r>
    </w:p>
    <w:p>
      <w:pPr>
        <w:spacing w:after="80" w:before="80"/>
      </w:pPr>
      <w:r>
        <w:rPr>
          <w:rFonts w:ascii="Arial" w:cs="Arial" w:eastAsia="Arial" w:hAnsi="Arial"/>
          <w:color w:val="2D2D2D"/>
          <w:sz w:val="22"/>
          <w:szCs w:val="22"/>
        </w:rPr>
        <w:t xml:space="preserve">Assets: cash, savings, investment accounts, retirement accounts, property equity, vehicles (at market value)</w:t>
      </w:r>
    </w:p>
    <w:p>
      <w:pPr>
        <w:spacing w:after="80" w:before="80"/>
      </w:pPr>
      <w:r>
        <w:rPr>
          <w:rFonts w:ascii="Arial" w:cs="Arial" w:eastAsia="Arial" w:hAnsi="Arial"/>
          <w:color w:val="2D2D2D"/>
          <w:sz w:val="22"/>
          <w:szCs w:val="22"/>
        </w:rPr>
        <w:t xml:space="preserve">Liabilities: credit card balances, student loans, car loans, mortgage balance, personal loans, medical debt</w:t>
      </w:r>
    </w:p>
    <w:p>
      <w:pPr>
        <w:spacing w:after="0" w:before="100"/>
      </w:pPr>
      <w:r>
        <w:t xml:space="preserve"/>
      </w:r>
    </w:p>
    <w:p>
      <w:pPr>
        <w:spacing w:after="80" w:before="80"/>
      </w:pPr>
      <w:r>
        <w:rPr>
          <w:rFonts w:ascii="Arial" w:cs="Arial" w:eastAsia="Arial" w:hAnsi="Arial"/>
          <w:color w:val="2D2D2D"/>
          <w:sz w:val="22"/>
          <w:szCs w:val="22"/>
        </w:rPr>
        <w:t xml:space="preserve">Most people track income. Income is not wealth. A person earning $150,000 with $200,000 in debt and $10,000 in savings has a net worth of approximately −$190,000. A person earning $50,000 with no debt and $40,000 in savings and investments has a net worth of $40,000. The second person is building wealth faster regardless of the income gap.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Getting to $100,000 in net worth requires attacking both sides of the equation simultaneously:</w:t>
            </w:r>
          </w:p>
          <w:p>
            <w:pPr>
              <w:spacing w:after="60" w:before="60"/>
            </w:pPr>
            <w:r>
              <w:rPr>
                <w:rFonts w:ascii="Arial" w:cs="Arial" w:eastAsia="Arial" w:hAnsi="Arial"/>
                <w:color w:val="2D2D2D"/>
                <w:sz w:val="22"/>
                <w:szCs w:val="22"/>
              </w:rPr>
              <w:t xml:space="preserve">•  Growing assets: savings contributions, investment growth, retirement account funding</w:t>
            </w:r>
          </w:p>
          <w:p>
            <w:pPr>
              <w:spacing w:after="60" w:before="60"/>
            </w:pPr>
            <w:r>
              <w:rPr>
                <w:rFonts w:ascii="Arial" w:cs="Arial" w:eastAsia="Arial" w:hAnsi="Arial"/>
                <w:color w:val="2D2D2D"/>
                <w:sz w:val="22"/>
                <w:szCs w:val="22"/>
              </w:rPr>
              <w:t xml:space="preserve">•  Reducing liabilities: eliminating debt, starting with the highest-cost debt first</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Math: What It Actually Takes</w:t>
      </w:r>
    </w:p>
    <w:p>
      <w:pPr>
        <w:spacing w:after="80" w:before="80"/>
      </w:pPr>
      <w:r>
        <w:rPr>
          <w:rFonts w:ascii="Arial" w:cs="Arial" w:eastAsia="Arial" w:hAnsi="Arial"/>
          <w:color w:val="2D2D2D"/>
          <w:sz w:val="22"/>
          <w:szCs w:val="22"/>
        </w:rPr>
        <w:t xml:space="preserve">Assumptions: 7% real annual return (inflation-adjusted S&amp;P 500 historical average), starting net worth $0, 36-month target.</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Path A: Starting Clean (No Debt, No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2160"/>
        <w:gridCol w:w="1440"/>
        <w:gridCol w:w="2040"/>
        <w:gridCol w:w="1480"/>
      </w:tblGrid>
      <w:tr>
        <w:tc>
          <w:tcPr>
            <w:tcW w:type="dxa" w:w="1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Annual Income</w:t>
            </w:r>
          </w:p>
        </w:tc>
        <w:tc>
          <w:tcPr>
            <w:tcW w:type="dxa" w:w="1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Take-Home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Monthly Savings</w:t>
            </w:r>
          </w:p>
        </w:tc>
        <w:tc>
          <w:tcPr>
            <w:tcW w:type="dxa" w:w="14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Savings Rate</w:t>
            </w:r>
          </w:p>
        </w:tc>
        <w:tc>
          <w:tcPr>
            <w:tcW w:type="dxa" w:w="20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Investment Growth</w:t>
            </w:r>
          </w:p>
        </w:tc>
        <w:tc>
          <w:tcPr>
            <w:tcW w:type="dxa" w:w="14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Total @ Mo.36</w:t>
            </w:r>
          </w:p>
        </w:tc>
      </w:tr>
      <w:tr>
        <w:tc>
          <w:tcPr>
            <w:tcW w:type="dxa" w:w="1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$50,000</w:t>
            </w:r>
          </w:p>
        </w:tc>
        <w:tc>
          <w:tcPr>
            <w:tcW w:type="dxa" w:w="16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~$3,500/mo</w:t>
            </w:r>
          </w:p>
        </w:tc>
        <w:tc>
          <w:tcPr>
            <w:tcW w:type="dxa" w:w="2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$2,200/mo</w:t>
            </w:r>
          </w:p>
        </w:tc>
        <w:tc>
          <w:tcPr>
            <w:tcW w:type="dxa" w:w="14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63%</w:t>
            </w:r>
          </w:p>
        </w:tc>
        <w:tc>
          <w:tcPr>
            <w:tcW w:type="dxa" w:w="20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~$8,500</w:t>
            </w:r>
          </w:p>
        </w:tc>
        <w:tc>
          <w:tcPr>
            <w:tcW w:type="dxa" w:w="14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0E7C86"/>
                <w:sz w:val="18"/>
                <w:szCs w:val="18"/>
              </w:rPr>
              <w:t xml:space="preserve">~$100,000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$55,000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~$3,800/mo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$2,100/mo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55%</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~$8,200</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E7C86"/>
                <w:sz w:val="18"/>
                <w:szCs w:val="18"/>
              </w:rPr>
              <w:t xml:space="preserve">~$100,000</w:t>
            </w:r>
          </w:p>
        </w:tc>
      </w:tr>
      <w:tr>
        <w:tc>
          <w:tcPr>
            <w:tcW w:type="dxa" w:w="1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$60,000</w:t>
            </w:r>
          </w:p>
        </w:tc>
        <w:tc>
          <w:tcPr>
            <w:tcW w:type="dxa" w:w="16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~$4,100/mo</w:t>
            </w:r>
          </w:p>
        </w:tc>
        <w:tc>
          <w:tcPr>
            <w:tcW w:type="dxa" w:w="2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$2,000/mo</w:t>
            </w:r>
          </w:p>
        </w:tc>
        <w:tc>
          <w:tcPr>
            <w:tcW w:type="dxa" w:w="14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49%</w:t>
            </w:r>
          </w:p>
        </w:tc>
        <w:tc>
          <w:tcPr>
            <w:tcW w:type="dxa" w:w="20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~$7,900</w:t>
            </w:r>
          </w:p>
        </w:tc>
        <w:tc>
          <w:tcPr>
            <w:tcW w:type="dxa" w:w="14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0E7C86"/>
                <w:sz w:val="18"/>
                <w:szCs w:val="18"/>
              </w:rPr>
              <w:t xml:space="preserve">~$100,000</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$70,000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~$4,800/mo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$1,900/mo</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40%</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~$7,600</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E7C86"/>
                <w:sz w:val="18"/>
                <w:szCs w:val="18"/>
              </w:rPr>
              <w:t xml:space="preserve">~$100,000</w:t>
            </w:r>
          </w:p>
        </w:tc>
      </w:tr>
      <w:tr>
        <w:tc>
          <w:tcPr>
            <w:tcW w:type="dxa" w:w="1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$80,000</w:t>
            </w:r>
          </w:p>
        </w:tc>
        <w:tc>
          <w:tcPr>
            <w:tcW w:type="dxa" w:w="16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~$5,500/mo</w:t>
            </w:r>
          </w:p>
        </w:tc>
        <w:tc>
          <w:tcPr>
            <w:tcW w:type="dxa" w:w="2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$1,800/mo</w:t>
            </w:r>
          </w:p>
        </w:tc>
        <w:tc>
          <w:tcPr>
            <w:tcW w:type="dxa" w:w="14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33%</w:t>
            </w:r>
          </w:p>
        </w:tc>
        <w:tc>
          <w:tcPr>
            <w:tcW w:type="dxa" w:w="204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~$7,300</w:t>
            </w:r>
          </w:p>
        </w:tc>
        <w:tc>
          <w:tcPr>
            <w:tcW w:type="dxa" w:w="148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0E7C86"/>
                <w:sz w:val="18"/>
                <w:szCs w:val="18"/>
              </w:rPr>
              <w:t xml:space="preserve">~$100,000</w:t>
            </w:r>
          </w:p>
        </w:tc>
      </w:tr>
    </w:tbl>
    <w:p>
      <w:pPr>
        <w:spacing w:after="0" w:before="160"/>
      </w:pPr>
      <w:r>
        <w:t xml:space="preserve"/>
      </w:r>
    </w:p>
    <w:p>
      <w:pPr>
        <w:pStyle w:val="Heading2"/>
        <w:spacing w:after="120" w:before="300"/>
      </w:pPr>
      <w:r>
        <w:rPr>
          <w:rFonts w:ascii="Arial" w:cs="Arial" w:eastAsia="Arial" w:hAnsi="Arial"/>
          <w:b/>
          <w:bCs/>
          <w:color w:val="1B3A6B"/>
          <w:sz w:val="26"/>
          <w:szCs w:val="26"/>
        </w:rPr>
        <w:t xml:space="preserve">Path B: Starting With $10,000 in Debt to Clear</w:t>
      </w:r>
    </w:p>
    <w:p>
      <w:pPr>
        <w:spacing w:after="80" w:before="80"/>
      </w:pPr>
      <w:r>
        <w:rPr>
          <w:rFonts w:ascii="Arial" w:cs="Arial" w:eastAsia="Arial" w:hAnsi="Arial"/>
          <w:color w:val="2D2D2D"/>
          <w:sz w:val="22"/>
          <w:szCs w:val="22"/>
        </w:rPr>
        <w:t xml:space="preserve">Add approximately 4–6 months to the timeline for debt elimination, then accelerate into investment contributions. Or extend the timeline to 42 months at a slightly lower savings rate.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Annual Income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Monthly Savings Rate to Hit $100K by Month 42</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18"/>
                <w:szCs w:val="18"/>
              </w:rPr>
              <w:t xml:space="preserve">$50,000</w:t>
            </w:r>
          </w:p>
        </w:tc>
        <w:tc>
          <w:tcPr>
            <w:tcW w:type="dxa" w:w="6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~$1,700/mo (49% of take-home)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$60,000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~$1,600/mo (39% of take-home)</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18"/>
                <w:szCs w:val="18"/>
              </w:rPr>
              <w:t xml:space="preserve">$70,000</w:t>
            </w:r>
          </w:p>
        </w:tc>
        <w:tc>
          <w:tcPr>
            <w:tcW w:type="dxa" w:w="6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val="false"/>
                <w:bCs w:val="false"/>
                <w:color w:val="2D2D2D"/>
                <w:sz w:val="18"/>
                <w:szCs w:val="18"/>
              </w:rPr>
              <w:t xml:space="preserve">~$1,500/mo (31% of take-home)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honest reality check: </w:t>
            </w:r>
          </w:p>
          <w:p>
            <w:pPr>
              <w:spacing w:after="60" w:before="60"/>
            </w:pPr>
            <w:r>
              <w:rPr>
                <w:rFonts w:ascii="Arial" w:cs="Arial" w:eastAsia="Arial" w:hAnsi="Arial"/>
                <w:color w:val="2D2D2D"/>
                <w:sz w:val="22"/>
                <w:szCs w:val="22"/>
              </w:rPr>
              <w:t xml:space="preserve">A 40–63% savings rate on an average income is aggressive. Most people don’t live this way — but the people who hit $100K in 3 years do. The variable you fully control is the savings rate.</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What Delaying 6 Months Costs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Delay</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Lost Compounding (at $2,000/mo contribution, 7% return)</w:t>
            </w:r>
          </w:p>
        </w:tc>
      </w:tr>
      <w:tr>
        <w:tc>
          <w:tcPr>
            <w:tcW w:type="dxa" w:w="2400"/>
            <w:tcBorders>
              <w:top w:val="single" w:color="CCCCCC" w:sz="1"/>
              <w:left w:val="single" w:color="CCCCCC" w:sz="1"/>
              <w:bottom w:val="single" w:color="CCCCCC" w:sz="1"/>
              <w:right w:val="single" w:color="CCCCCC" w:sz="1"/>
            </w:tcBorders>
            <w:shd w:fill="FDF4D5" w:val="clear"/>
            <w:tcMar>
              <w:top w:type="dxa" w:w="100"/>
              <w:left w:type="dxa" w:w="140"/>
              <w:bottom w:type="dxa" w:w="100"/>
              <w:right w:type="dxa" w:w="140"/>
            </w:tcMar>
          </w:tcPr>
          <w:p>
            <w:r>
              <w:rPr>
                <w:rFonts w:ascii="Arial" w:cs="Arial" w:eastAsia="Arial" w:hAnsi="Arial"/>
                <w:b/>
                <w:bCs/>
                <w:color w:val="C9A82C"/>
                <w:sz w:val="18"/>
                <w:szCs w:val="18"/>
              </w:rPr>
              <w:t xml:space="preserve">6 months</w:t>
            </w:r>
          </w:p>
        </w:tc>
        <w:tc>
          <w:tcPr>
            <w:tcW w:type="dxa" w:w="6960"/>
            <w:tcBorders>
              <w:top w:val="single" w:color="CCCCCC" w:sz="1"/>
              <w:left w:val="single" w:color="CCCCCC" w:sz="1"/>
              <w:bottom w:val="single" w:color="CCCCCC" w:sz="1"/>
              <w:right w:val="single" w:color="CCCCCC" w:sz="1"/>
            </w:tcBorders>
            <w:shd w:fill="FDF4D5" w:val="clear"/>
            <w:tcMar>
              <w:top w:type="dxa" w:w="100"/>
              <w:left w:type="dxa" w:w="140"/>
              <w:bottom w:type="dxa" w:w="100"/>
              <w:right w:type="dxa" w:w="140"/>
            </w:tcMar>
          </w:tcPr>
          <w:p>
            <w:r>
              <w:rPr>
                <w:rFonts w:ascii="Arial" w:cs="Arial" w:eastAsia="Arial" w:hAnsi="Arial"/>
                <w:b w:val="false"/>
                <w:bCs w:val="false"/>
                <w:color w:val="2D2D2D"/>
                <w:sz w:val="18"/>
                <w:szCs w:val="18"/>
              </w:rPr>
              <w:t xml:space="preserve">~$4,200 in forgone growth over the 3-year period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9A82C"/>
                <w:sz w:val="18"/>
                <w:szCs w:val="18"/>
              </w:rPr>
              <w:t xml:space="preserve">12 months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~$9,100 in forgone growth</w:t>
            </w:r>
          </w:p>
        </w:tc>
      </w:tr>
      <w:tr>
        <w:tc>
          <w:tcPr>
            <w:tcW w:type="dxa" w:w="2400"/>
            <w:tcBorders>
              <w:top w:val="single" w:color="CCCCCC" w:sz="1"/>
              <w:left w:val="single" w:color="CCCCCC" w:sz="1"/>
              <w:bottom w:val="single" w:color="CCCCCC" w:sz="1"/>
              <w:right w:val="single" w:color="CCCCCC" w:sz="1"/>
            </w:tcBorders>
            <w:shd w:fill="FDF4D5" w:val="clear"/>
            <w:tcMar>
              <w:top w:type="dxa" w:w="100"/>
              <w:left w:type="dxa" w:w="140"/>
              <w:bottom w:type="dxa" w:w="100"/>
              <w:right w:type="dxa" w:w="140"/>
            </w:tcMar>
          </w:tcPr>
          <w:p>
            <w:r>
              <w:rPr>
                <w:rFonts w:ascii="Arial" w:cs="Arial" w:eastAsia="Arial" w:hAnsi="Arial"/>
                <w:b/>
                <w:bCs/>
                <w:color w:val="C9A82C"/>
                <w:sz w:val="18"/>
                <w:szCs w:val="18"/>
              </w:rPr>
              <w:t xml:space="preserve">24 months</w:t>
            </w:r>
          </w:p>
        </w:tc>
        <w:tc>
          <w:tcPr>
            <w:tcW w:type="dxa" w:w="6960"/>
            <w:tcBorders>
              <w:top w:val="single" w:color="CCCCCC" w:sz="1"/>
              <w:left w:val="single" w:color="CCCCCC" w:sz="1"/>
              <w:bottom w:val="single" w:color="CCCCCC" w:sz="1"/>
              <w:right w:val="single" w:color="CCCCCC" w:sz="1"/>
            </w:tcBorders>
            <w:shd w:fill="FDF4D5" w:val="clear"/>
            <w:tcMar>
              <w:top w:type="dxa" w:w="100"/>
              <w:left w:type="dxa" w:w="140"/>
              <w:bottom w:type="dxa" w:w="100"/>
              <w:right w:type="dxa" w:w="140"/>
            </w:tcMar>
          </w:tcPr>
          <w:p>
            <w:r>
              <w:rPr>
                <w:rFonts w:ascii="Arial" w:cs="Arial" w:eastAsia="Arial" w:hAnsi="Arial"/>
                <w:b w:val="false"/>
                <w:bCs w:val="false"/>
                <w:color w:val="2D2D2D"/>
                <w:sz w:val="18"/>
                <w:szCs w:val="18"/>
              </w:rPr>
              <w:t xml:space="preserve">~$21,000 in forgone growth</w:t>
            </w:r>
          </w:p>
        </w:tc>
      </w:tr>
    </w:tbl>
    <w:p>
      <w:pPr>
        <w:spacing w:after="0" w:before="100"/>
      </w:pPr>
      <w:r>
        <w:t xml:space="preserve"/>
      </w:r>
    </w:p>
    <w:p>
      <w:pPr>
        <w:spacing w:after="80" w:before="80"/>
      </w:pPr>
      <w:r>
        <w:rPr>
          <w:rFonts w:ascii="Arial" w:cs="Arial" w:eastAsia="Arial" w:hAnsi="Arial"/>
          <w:color w:val="2D2D2D"/>
          <w:sz w:val="22"/>
          <w:szCs w:val="22"/>
        </w:rPr>
        <w:t xml:space="preserve">The delay doesn’t just push the timeline — it permanently reduces the compounding base for decades. Every month of delay at 25 costs more than every month of delay at 45 because the time horizon is longer.</w:t>
      </w:r>
    </w:p>
    <w:p>
      <w:pPr>
        <w:spacing w:after="0" w:before="200"/>
      </w:pPr>
      <w:r>
        <w:t xml:space="preserve"/>
      </w:r>
    </w:p>
    <w:p>
      <w:pPr>
        <w:pStyle w:val="Heading1"/>
        <w:spacing w:after="180" w:before="440"/>
      </w:pPr>
      <w:r>
        <w:rPr>
          <w:rFonts w:ascii="Arial" w:cs="Arial" w:eastAsia="Arial" w:hAnsi="Arial"/>
          <w:b/>
          <w:bCs/>
          <w:color w:val="1B3A6B"/>
          <w:sz w:val="36"/>
          <w:szCs w:val="36"/>
        </w:rPr>
        <w:t xml:space="preserve">The 3-Year Phase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20"/>
                <w:szCs w:val="20"/>
              </w:rPr>
              <w:t xml:space="preserve">YEAR 1</w:t>
            </w:r>
          </w:p>
          <w:p>
            <w:pPr>
              <w:spacing w:after="40" w:before="0"/>
            </w:pPr>
            <w:r>
              <w:rPr>
                <w:rFonts w:ascii="Arial" w:cs="Arial" w:eastAsia="Arial" w:hAnsi="Arial"/>
                <w:b/>
                <w:bCs/>
                <w:color w:val="FFFFFF"/>
                <w:sz w:val="30"/>
                <w:szCs w:val="30"/>
              </w:rPr>
              <w:t xml:space="preserve">Foundation</w:t>
            </w:r>
          </w:p>
          <w:p>
            <w:pPr>
              <w:spacing w:after="0" w:before="0"/>
            </w:pPr>
            <w:r>
              <w:rPr>
                <w:rFonts w:ascii="Arial" w:cs="Arial" w:eastAsia="Arial" w:hAnsi="Arial"/>
                <w:color w:val="D5EEF0"/>
                <w:sz w:val="20"/>
                <w:szCs w:val="20"/>
              </w:rPr>
              <w:t xml:space="preserve">Clear the Deck, Build the Base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D8E4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goal of Year 1 is not to build wealth. It is to stop losing wealth.</w:t>
            </w:r>
          </w:p>
        </w:tc>
      </w:tr>
    </w:tbl>
    <w:p>
      <w:pPr>
        <w:spacing w:after="0" w:before="120"/>
      </w:pPr>
      <w:r>
        <w:t xml:space="preserve"/>
      </w:r>
    </w:p>
    <w:p>
      <w:pPr>
        <w:spacing w:after="80" w:before="220"/>
      </w:pPr>
      <w:r>
        <w:rPr>
          <w:rFonts w:ascii="Arial" w:cs="Arial" w:eastAsia="Arial" w:hAnsi="Arial"/>
          <w:b/>
          <w:bCs/>
          <w:color w:val="1B3A6B"/>
          <w:sz w:val="22"/>
          <w:szCs w:val="22"/>
        </w:rPr>
        <w:t xml:space="preserve">Month 1–2: Financial Baseline</w:t>
      </w:r>
    </w:p>
    <w:p>
      <w:pPr>
        <w:pStyle w:val="ListParagraph"/>
        <w:numPr>
          <w:ilvl w:val="0"/>
          <w:numId w:val="2"/>
        </w:numPr>
        <w:spacing w:after="60" w:before="60"/>
      </w:pPr>
      <w:r>
        <w:rPr>
          <w:rFonts w:ascii="Arial" w:cs="Arial" w:eastAsia="Arial" w:hAnsi="Arial"/>
          <w:color w:val="2D2D2D"/>
          <w:sz w:val="22"/>
          <w:szCs w:val="22"/>
        </w:rPr>
        <w:t xml:space="preserve">Calculate your true net worth: list every asset and every liability</w:t>
      </w:r>
    </w:p>
    <w:p>
      <w:pPr>
        <w:pStyle w:val="ListParagraph"/>
        <w:numPr>
          <w:ilvl w:val="0"/>
          <w:numId w:val="2"/>
        </w:numPr>
        <w:spacing w:after="60" w:before="60"/>
      </w:pPr>
      <w:r>
        <w:rPr>
          <w:rFonts w:ascii="Arial" w:cs="Arial" w:eastAsia="Arial" w:hAnsi="Arial"/>
          <w:color w:val="2D2D2D"/>
          <w:sz w:val="22"/>
          <w:szCs w:val="22"/>
        </w:rPr>
        <w:t xml:space="preserve">Identify your actual monthly income (take-home, after tax)</w:t>
      </w:r>
    </w:p>
    <w:p>
      <w:pPr>
        <w:pStyle w:val="ListParagraph"/>
        <w:numPr>
          <w:ilvl w:val="0"/>
          <w:numId w:val="2"/>
        </w:numPr>
        <w:spacing w:after="60" w:before="60"/>
      </w:pPr>
      <w:r>
        <w:rPr>
          <w:rFonts w:ascii="Arial" w:cs="Arial" w:eastAsia="Arial" w:hAnsi="Arial"/>
          <w:color w:val="2D2D2D"/>
          <w:sz w:val="22"/>
          <w:szCs w:val="22"/>
        </w:rPr>
        <w:t xml:space="preserve">Track every dollar for 30 days — not to judge yourself, but to see the real number</w:t>
      </w:r>
    </w:p>
    <w:p>
      <w:pPr>
        <w:pStyle w:val="ListParagraph"/>
        <w:numPr>
          <w:ilvl w:val="0"/>
          <w:numId w:val="2"/>
        </w:numPr>
        <w:spacing w:after="60" w:before="60"/>
      </w:pPr>
      <w:r>
        <w:rPr>
          <w:rFonts w:ascii="Arial" w:cs="Arial" w:eastAsia="Arial" w:hAnsi="Arial"/>
          <w:color w:val="2D2D2D"/>
          <w:sz w:val="22"/>
          <w:szCs w:val="22"/>
        </w:rPr>
        <w:t xml:space="preserve">Find your “savings gap”: income minus essential expenses equals the maximum you can save</w:t>
      </w:r>
    </w:p>
    <w:p>
      <w:pPr>
        <w:pStyle w:val="ListParagraph"/>
        <w:numPr>
          <w:ilvl w:val="0"/>
          <w:numId w:val="2"/>
        </w:numPr>
        <w:spacing w:after="60" w:before="60"/>
      </w:pPr>
      <w:r>
        <w:rPr>
          <w:rFonts w:ascii="Arial" w:cs="Arial" w:eastAsia="Arial" w:hAnsi="Arial"/>
          <w:color w:val="2D2D2D"/>
          <w:sz w:val="22"/>
          <w:szCs w:val="22"/>
        </w:rPr>
        <w:t xml:space="preserve">Open a high-yield savings account (Marcus, Ally, SoFi — currently 4–5% APY) if you don’t have one</w:t>
      </w:r>
    </w:p>
    <w:p>
      <w:pPr>
        <w:spacing w:after="0" w:before="100"/>
      </w:pPr>
      <w:r>
        <w:t xml:space="preserve"/>
      </w:r>
    </w:p>
    <w:p>
      <w:pPr>
        <w:spacing w:after="80" w:before="220"/>
      </w:pPr>
      <w:r>
        <w:rPr>
          <w:rFonts w:ascii="Arial" w:cs="Arial" w:eastAsia="Arial" w:hAnsi="Arial"/>
          <w:b/>
          <w:bCs/>
          <w:color w:val="1B3A6B"/>
          <w:sz w:val="22"/>
          <w:szCs w:val="22"/>
        </w:rPr>
        <w:t xml:space="preserve">Month 2–4: Starter Emergency Fund</w:t>
      </w:r>
    </w:p>
    <w:p>
      <w:pPr>
        <w:spacing w:after="80" w:before="80"/>
      </w:pPr>
      <w:r>
        <w:rPr>
          <w:rFonts w:ascii="Arial" w:cs="Arial" w:eastAsia="Arial" w:hAnsi="Arial"/>
          <w:color w:val="2D2D2D"/>
          <w:sz w:val="22"/>
          <w:szCs w:val="22"/>
        </w:rPr>
        <w:t xml:space="preserve">Build $1,000 in a dedicated savings account labeled “Emergency Fund.” Do not invest this. Do not touch it except for genuine emergencies. This buffer prevents you from going deeper into credit card debt when life happens — and life always happens.</w:t>
      </w:r>
    </w:p>
    <w:p>
      <w:pPr>
        <w:spacing w:after="0" w:before="100"/>
      </w:pPr>
      <w:r>
        <w:t xml:space="preserve"/>
      </w:r>
    </w:p>
    <w:p>
      <w:pPr>
        <w:spacing w:after="80" w:before="220"/>
      </w:pPr>
      <w:r>
        <w:rPr>
          <w:rFonts w:ascii="Arial" w:cs="Arial" w:eastAsia="Arial" w:hAnsi="Arial"/>
          <w:b/>
          <w:bCs/>
          <w:color w:val="1B3A6B"/>
          <w:sz w:val="22"/>
          <w:szCs w:val="22"/>
        </w:rPr>
        <w:t xml:space="preserve">Month 4–12: High-Interest Debt Elimination</w:t>
      </w:r>
    </w:p>
    <w:p>
      <w:pPr>
        <w:spacing w:after="80" w:before="80"/>
      </w:pPr>
      <w:r>
        <w:rPr>
          <w:rFonts w:ascii="Arial" w:cs="Arial" w:eastAsia="Arial" w:hAnsi="Arial"/>
          <w:color w:val="2D2D2D"/>
          <w:sz w:val="22"/>
          <w:szCs w:val="22"/>
        </w:rPr>
        <w:t xml:space="preserve">Any debt above 7% interest gets paid off before investing beyond the employer match:</w:t>
      </w:r>
    </w:p>
    <w:p>
      <w:pPr>
        <w:pStyle w:val="ListParagraph"/>
        <w:numPr>
          <w:ilvl w:val="0"/>
          <w:numId w:val="2"/>
        </w:numPr>
        <w:spacing w:after="60" w:before="60"/>
      </w:pPr>
      <w:r>
        <w:rPr>
          <w:rFonts w:ascii="Arial" w:cs="Arial" w:eastAsia="Arial" w:hAnsi="Arial"/>
          <w:b/>
          <w:bCs/>
          <w:color w:val="1B3A6B"/>
          <w:sz w:val="22"/>
          <w:szCs w:val="22"/>
        </w:rPr>
        <w:t xml:space="preserve">Credit cards at 20–29% APR: </w:t>
      </w:r>
      <w:r>
        <w:rPr>
          <w:rFonts w:ascii="Arial" w:cs="Arial" w:eastAsia="Arial" w:hAnsi="Arial"/>
          <w:color w:val="2D2D2D"/>
          <w:sz w:val="22"/>
          <w:szCs w:val="22"/>
        </w:rPr>
        <w:t xml:space="preserve">paying these off is a guaranteed 20–29% return</w:t>
      </w:r>
    </w:p>
    <w:p>
      <w:pPr>
        <w:pStyle w:val="ListParagraph"/>
        <w:numPr>
          <w:ilvl w:val="0"/>
          <w:numId w:val="2"/>
        </w:numPr>
        <w:spacing w:after="60" w:before="60"/>
      </w:pPr>
      <w:r>
        <w:rPr>
          <w:rFonts w:ascii="Arial" w:cs="Arial" w:eastAsia="Arial" w:hAnsi="Arial"/>
          <w:b/>
          <w:bCs/>
          <w:color w:val="1B3A6B"/>
          <w:sz w:val="22"/>
          <w:szCs w:val="22"/>
        </w:rPr>
        <w:t xml:space="preserve">Personal loans above 10%: </w:t>
      </w:r>
      <w:r>
        <w:rPr>
          <w:rFonts w:ascii="Arial" w:cs="Arial" w:eastAsia="Arial" w:hAnsi="Arial"/>
          <w:color w:val="2D2D2D"/>
          <w:sz w:val="22"/>
          <w:szCs w:val="22"/>
        </w:rPr>
        <w:t xml:space="preserve">pay off</w:t>
      </w:r>
    </w:p>
    <w:p>
      <w:pPr>
        <w:pStyle w:val="ListParagraph"/>
        <w:numPr>
          <w:ilvl w:val="0"/>
          <w:numId w:val="2"/>
        </w:numPr>
        <w:spacing w:after="60" w:before="60"/>
      </w:pPr>
      <w:r>
        <w:rPr>
          <w:rFonts w:ascii="Arial" w:cs="Arial" w:eastAsia="Arial" w:hAnsi="Arial"/>
          <w:b/>
          <w:bCs/>
          <w:color w:val="1B3A6B"/>
          <w:sz w:val="22"/>
          <w:szCs w:val="22"/>
        </w:rPr>
        <w:t xml:space="preserve">Car loans above 7%: </w:t>
      </w:r>
      <w:r>
        <w:rPr>
          <w:rFonts w:ascii="Arial" w:cs="Arial" w:eastAsia="Arial" w:hAnsi="Arial"/>
          <w:color w:val="2D2D2D"/>
          <w:sz w:val="22"/>
          <w:szCs w:val="22"/>
        </w:rPr>
        <w:t xml:space="preserve">pay off</w:t>
      </w:r>
    </w:p>
    <w:p>
      <w:pPr>
        <w:pStyle w:val="ListParagraph"/>
        <w:numPr>
          <w:ilvl w:val="0"/>
          <w:numId w:val="2"/>
        </w:numPr>
        <w:spacing w:after="60" w:before="60"/>
      </w:pPr>
      <w:r>
        <w:rPr>
          <w:rFonts w:ascii="Arial" w:cs="Arial" w:eastAsia="Arial" w:hAnsi="Arial"/>
          <w:b/>
          <w:bCs/>
          <w:color w:val="1B3A6B"/>
          <w:sz w:val="22"/>
          <w:szCs w:val="22"/>
        </w:rPr>
        <w:t xml:space="preserve">Student loans below 6%: </w:t>
      </w:r>
      <w:r>
        <w:rPr>
          <w:rFonts w:ascii="Arial" w:cs="Arial" w:eastAsia="Arial" w:hAnsi="Arial"/>
          <w:color w:val="2D2D2D"/>
          <w:sz w:val="22"/>
          <w:szCs w:val="22"/>
        </w:rPr>
        <w:t xml:space="preserve">minimum payments only — these are cheap debt</w:t>
      </w:r>
    </w:p>
    <w:p>
      <w:pPr>
        <w:pStyle w:val="ListParagraph"/>
        <w:numPr>
          <w:ilvl w:val="0"/>
          <w:numId w:val="2"/>
        </w:numPr>
        <w:spacing w:after="60" w:before="60"/>
      </w:pPr>
      <w:r>
        <w:rPr>
          <w:rFonts w:ascii="Arial" w:cs="Arial" w:eastAsia="Arial" w:hAnsi="Arial"/>
          <w:b/>
          <w:bCs/>
          <w:color w:val="1B3A6B"/>
          <w:sz w:val="22"/>
          <w:szCs w:val="22"/>
        </w:rPr>
        <w:t xml:space="preserve">Medical debt: </w:t>
      </w:r>
      <w:r>
        <w:rPr>
          <w:rFonts w:ascii="Arial" w:cs="Arial" w:eastAsia="Arial" w:hAnsi="Arial"/>
          <w:color w:val="2D2D2D"/>
          <w:sz w:val="22"/>
          <w:szCs w:val="22"/>
        </w:rPr>
        <w:t xml:space="preserve">negotiate, then pay (often settled for 50–60 cents on the dollar)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Year 1 Target Net Worth: </w:t>
            </w:r>
          </w:p>
          <w:p>
            <w:pPr>
              <w:spacing w:after="60" w:before="60"/>
            </w:pPr>
            <w:r>
              <w:rPr>
                <w:rFonts w:ascii="Arial" w:cs="Arial" w:eastAsia="Arial" w:hAnsi="Arial"/>
                <w:color w:val="2D2D2D"/>
                <w:sz w:val="22"/>
                <w:szCs w:val="22"/>
              </w:rPr>
              <w:t xml:space="preserve">Moving from negative toward zero, or $0 to $15,000–$25,000 if starting clean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20"/>
                <w:szCs w:val="20"/>
              </w:rPr>
              <w:t xml:space="preserve">YEAR 2</w:t>
            </w:r>
          </w:p>
          <w:p>
            <w:pPr>
              <w:spacing w:after="40" w:before="0"/>
            </w:pPr>
            <w:r>
              <w:rPr>
                <w:rFonts w:ascii="Arial" w:cs="Arial" w:eastAsia="Arial" w:hAnsi="Arial"/>
                <w:b/>
                <w:bCs/>
                <w:color w:val="FFFFFF"/>
                <w:sz w:val="30"/>
                <w:szCs w:val="30"/>
              </w:rPr>
              <w:t xml:space="preserve">Acceleration</w:t>
            </w:r>
          </w:p>
          <w:p>
            <w:pPr>
              <w:spacing w:after="0" w:before="0"/>
            </w:pPr>
            <w:r>
              <w:rPr>
                <w:rFonts w:ascii="Arial" w:cs="Arial" w:eastAsia="Arial" w:hAnsi="Arial"/>
                <w:color w:val="D5EEF0"/>
                <w:sz w:val="20"/>
                <w:szCs w:val="20"/>
              </w:rPr>
              <w:t xml:space="preserve">Fill the Tax-Advantaged Containers</w:t>
            </w:r>
          </w:p>
        </w:tc>
      </w:tr>
    </w:tbl>
    <w:p>
      <w:pPr>
        <w:spacing w:after="0" w:before="80"/>
      </w:pPr>
      <w:r>
        <w:t xml:space="preserve"/>
      </w:r>
    </w:p>
    <w:p>
      <w:pPr>
        <w:spacing w:after="80" w:before="80"/>
      </w:pPr>
      <w:r>
        <w:rPr>
          <w:rFonts w:ascii="Arial" w:cs="Arial" w:eastAsia="Arial" w:hAnsi="Arial"/>
          <w:color w:val="2D2D2D"/>
          <w:sz w:val="22"/>
          <w:szCs w:val="22"/>
        </w:rPr>
        <w:t xml:space="preserve">Year 2 is where the financial infrastructure gets built properly. Debt is gone. You now redirect every dollar that was going to debt payments into the investment sequence.</w:t>
      </w:r>
    </w:p>
    <w:p>
      <w:pPr>
        <w:spacing w:after="0" w:before="100"/>
      </w:pPr>
      <w:r>
        <w:t xml:space="preserve"/>
      </w:r>
    </w:p>
    <w:p>
      <w:pPr>
        <w:spacing w:after="80" w:before="220"/>
      </w:pPr>
      <w:r>
        <w:rPr>
          <w:rFonts w:ascii="Arial" w:cs="Arial" w:eastAsia="Arial" w:hAnsi="Arial"/>
          <w:b/>
          <w:bCs/>
          <w:color w:val="1B3A6B"/>
          <w:sz w:val="22"/>
          <w:szCs w:val="22"/>
        </w:rPr>
        <w:t xml:space="preserve">The Order of Operations — Follow This Sequence Exactly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Step 1: 401(k) to Employer Match</w:t>
            </w:r>
          </w:p>
          <w:p>
            <w:pPr>
              <w:spacing w:after="0" w:before="0"/>
            </w:pPr>
            <w:r>
              <w:rPr>
                <w:rFonts w:ascii="Arial" w:cs="Arial" w:eastAsia="Arial" w:hAnsi="Arial"/>
                <w:color w:val="2D2D2D"/>
                <w:sz w:val="20"/>
                <w:szCs w:val="20"/>
              </w:rPr>
              <w:t xml:space="preserve">If your employer matches 3% of your salary, contribute at least 3%. This is a 50–100% instant return. Never leave it unclaimed. $60,000 salary × 3% = $1,800/year you contribute; employer adds $900–$1,800 in matching funds.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Step 2: HSA to Maximum (if on HDHP)</w:t>
            </w:r>
          </w:p>
          <w:p>
            <w:pPr>
              <w:spacing w:after="0" w:before="0"/>
            </w:pPr>
            <w:r>
              <w:rPr>
                <w:rFonts w:ascii="Arial" w:cs="Arial" w:eastAsia="Arial" w:hAnsi="Arial"/>
                <w:color w:val="2D2D2D"/>
                <w:sz w:val="20"/>
                <w:szCs w:val="20"/>
              </w:rPr>
              <w:t xml:space="preserve">Health Savings Account: $4,150 individual / $8,300 family (2024). Triple tax advantage — pre-tax contribution, tax-free growth, tax-free qualified withdrawal. Invest the balance in index funds. Don’t spend it. Let it compound as a stealth retirement account.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Step 3: Roth IRA to Maximum</w:t>
            </w:r>
          </w:p>
          <w:p>
            <w:pPr>
              <w:spacing w:after="0" w:before="0"/>
            </w:pPr>
            <w:r>
              <w:rPr>
                <w:rFonts w:ascii="Arial" w:cs="Arial" w:eastAsia="Arial" w:hAnsi="Arial"/>
                <w:color w:val="2D2D2D"/>
                <w:sz w:val="20"/>
                <w:szCs w:val="20"/>
              </w:rPr>
              <w:t xml:space="preserve">$7,000/year ($583/month) in after-tax dollars growing tax-free forever. Income limit: $146K–$161K single / $230K–$240K married. Open at Fidelity (FZROX, 0.00% expense ratio) or Vanguard (VTI, 0.03%). Contribution deadline: April 15 of the following year.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Step 4: 401(k) to Full Limit</w:t>
            </w:r>
          </w:p>
          <w:p>
            <w:pPr>
              <w:spacing w:after="0" w:before="0"/>
            </w:pPr>
            <w:r>
              <w:rPr>
                <w:rFonts w:ascii="Arial" w:cs="Arial" w:eastAsia="Arial" w:hAnsi="Arial"/>
                <w:color w:val="2D2D2D"/>
                <w:sz w:val="20"/>
                <w:szCs w:val="20"/>
              </w:rPr>
              <w:t xml:space="preserve">After the Roth IRA is maxed, return to the 401(k) and push toward $23,000/year ($30,500 if 50+). Pre-tax contributions reduce your taxable income. Every dollar contributed at the 22% tax bracket saves you $0.22 in current taxes.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Step 5: Taxable Brokerage</w:t>
            </w:r>
          </w:p>
          <w:p>
            <w:pPr>
              <w:spacing w:after="0" w:before="0"/>
            </w:pPr>
            <w:r>
              <w:rPr>
                <w:rFonts w:ascii="Arial" w:cs="Arial" w:eastAsia="Arial" w:hAnsi="Arial"/>
                <w:color w:val="2D2D2D"/>
                <w:sz w:val="20"/>
                <w:szCs w:val="20"/>
              </w:rPr>
              <w:t xml:space="preserve">After all tax-advantaged accounts are maxed, additional savings go into a standard brokerage account. Buy index funds: VTI + VXUS (or FSKAX + FTIHX at Fidelity). No contribution limits. Long-term capital gains rates (0–20%) are favorable.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b/>
                <w:bCs/>
                <w:color w:val="0E7C86"/>
                <w:sz w:val="22"/>
                <w:szCs w:val="22"/>
              </w:rPr>
              <w:t xml:space="preserve">Year 2 Net Worth Target: </w:t>
            </w:r>
            <w:r>
              <w:rPr>
                <w:rFonts w:ascii="Arial" w:cs="Arial" w:eastAsia="Arial" w:hAnsi="Arial"/>
                <w:b/>
                <w:bCs/>
                <w:color w:val="1B3A6B"/>
                <w:sz w:val="22"/>
                <w:szCs w:val="22"/>
              </w:rPr>
              <w:t xml:space="preserve">$30,000–$60,000</w:t>
            </w:r>
            <w:r>
              <w:rPr>
                <w:rFonts w:ascii="Arial" w:cs="Arial" w:eastAsia="Arial" w:hAnsi="Arial"/>
                <w:color w:val="2D2D2D"/>
                <w:sz w:val="22"/>
                <w:szCs w:val="22"/>
              </w:rPr>
              <w:t xml:space="preserve"> (depending on income and starting point)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pPr>
              <w:spacing w:after="40" w:before="0"/>
            </w:pPr>
            <w:r>
              <w:rPr>
                <w:rFonts w:ascii="Arial" w:cs="Arial" w:eastAsia="Arial" w:hAnsi="Arial"/>
                <w:b/>
                <w:bCs/>
                <w:color w:val="C9A82C"/>
                <w:sz w:val="20"/>
                <w:szCs w:val="20"/>
              </w:rPr>
              <w:t xml:space="preserve">YEAR 3</w:t>
            </w:r>
          </w:p>
          <w:p>
            <w:pPr>
              <w:spacing w:after="40" w:before="0"/>
            </w:pPr>
            <w:r>
              <w:rPr>
                <w:rFonts w:ascii="Arial" w:cs="Arial" w:eastAsia="Arial" w:hAnsi="Arial"/>
                <w:b/>
                <w:bCs/>
                <w:color w:val="FFFFFF"/>
                <w:sz w:val="30"/>
                <w:szCs w:val="30"/>
              </w:rPr>
              <w:t xml:space="preserve">Compounding Begins</w:t>
            </w:r>
          </w:p>
          <w:p>
            <w:pPr>
              <w:spacing w:after="0" w:before="0"/>
            </w:pPr>
            <w:r>
              <w:rPr>
                <w:rFonts w:ascii="Arial" w:cs="Arial" w:eastAsia="Arial" w:hAnsi="Arial"/>
                <w:color w:val="D5EEF0"/>
                <w:sz w:val="20"/>
                <w:szCs w:val="20"/>
              </w:rPr>
              <w:t xml:space="preserve">Let the Math Work</w:t>
            </w:r>
          </w:p>
        </w:tc>
      </w:tr>
    </w:tbl>
    <w:p>
      <w:pPr>
        <w:spacing w:after="0" w:before="80"/>
      </w:pPr>
      <w:r>
        <w:t xml:space="preserve"/>
      </w:r>
    </w:p>
    <w:p>
      <w:pPr>
        <w:spacing w:after="80" w:before="80"/>
      </w:pPr>
      <w:r>
        <w:rPr>
          <w:rFonts w:ascii="Arial" w:cs="Arial" w:eastAsia="Arial" w:hAnsi="Arial"/>
          <w:color w:val="2D2D2D"/>
          <w:sz w:val="22"/>
          <w:szCs w:val="22"/>
        </w:rPr>
        <w:t xml:space="preserve">By Year 3, two things are true: you have a meaningful investment base, and your financial habits are locked in. The work of Year 3 is staying the course and letting the compounding effect start to appear in your monthly tracking.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At $50,000 invested @ 7%: </w:t>
            </w:r>
            <w:r>
              <w:rPr>
                <w:rFonts w:ascii="Arial" w:cs="Arial" w:eastAsia="Arial" w:hAnsi="Arial"/>
                <w:color w:val="2D2D2D"/>
                <w:sz w:val="22"/>
                <w:szCs w:val="22"/>
              </w:rPr>
              <w:t xml:space="preserve">$3,500 added this year without any new contribution</w:t>
            </w:r>
          </w:p>
          <w:p>
            <w:pPr>
              <w:spacing w:after="60" w:before="60"/>
            </w:pPr>
            <w:r>
              <w:rPr>
                <w:rFonts w:ascii="Arial" w:cs="Arial" w:eastAsia="Arial" w:hAnsi="Arial"/>
                <w:b/>
                <w:bCs/>
                <w:color w:val="1B3A6B"/>
                <w:sz w:val="22"/>
                <w:szCs w:val="22"/>
              </w:rPr>
              <w:t xml:space="preserve">At $75,000 invested: </w:t>
            </w:r>
            <w:r>
              <w:rPr>
                <w:rFonts w:ascii="Arial" w:cs="Arial" w:eastAsia="Arial" w:hAnsi="Arial"/>
                <w:color w:val="2D2D2D"/>
                <w:sz w:val="22"/>
                <w:szCs w:val="22"/>
              </w:rPr>
              <w:t xml:space="preserve">$5,250 added</w:t>
            </w:r>
          </w:p>
          <w:p>
            <w:pPr>
              <w:spacing w:after="60" w:before="60"/>
            </w:pPr>
            <w:r>
              <w:rPr>
                <w:rFonts w:ascii="Arial" w:cs="Arial" w:eastAsia="Arial" w:hAnsi="Arial"/>
                <w:b/>
                <w:bCs/>
                <w:color w:val="1B3A6B"/>
                <w:sz w:val="22"/>
                <w:szCs w:val="22"/>
              </w:rPr>
              <w:t xml:space="preserve">At $100,000 invested: </w:t>
            </w:r>
            <w:r>
              <w:rPr>
                <w:rFonts w:ascii="Arial" w:cs="Arial" w:eastAsia="Arial" w:hAnsi="Arial"/>
                <w:color w:val="2D2D2D"/>
                <w:sz w:val="22"/>
                <w:szCs w:val="22"/>
              </w:rPr>
              <w:t xml:space="preserve">$7,000 added — about $583/month appearing automatically</w:t>
            </w:r>
          </w:p>
        </w:tc>
      </w:tr>
    </w:tbl>
    <w:p>
      <w:pPr>
        <w:spacing w:after="0" w:before="100"/>
      </w:pPr>
      <w:r>
        <w:t xml:space="preserve"/>
      </w:r>
    </w:p>
    <w:p>
      <w:pPr>
        <w:spacing w:after="80" w:before="220"/>
      </w:pPr>
      <w:r>
        <w:rPr>
          <w:rFonts w:ascii="Arial" w:cs="Arial" w:eastAsia="Arial" w:hAnsi="Arial"/>
          <w:b/>
          <w:bCs/>
          <w:color w:val="1B3A6B"/>
          <w:sz w:val="22"/>
          <w:szCs w:val="22"/>
        </w:rPr>
        <w:t xml:space="preserve">Year 3 Focus</w:t>
      </w:r>
    </w:p>
    <w:p>
      <w:pPr>
        <w:pStyle w:val="ListParagraph"/>
        <w:numPr>
          <w:ilvl w:val="0"/>
          <w:numId w:val="2"/>
        </w:numPr>
        <w:spacing w:after="60" w:before="60"/>
      </w:pPr>
      <w:r>
        <w:rPr>
          <w:rFonts w:ascii="Arial" w:cs="Arial" w:eastAsia="Arial" w:hAnsi="Arial"/>
          <w:color w:val="2D2D2D"/>
          <w:sz w:val="22"/>
          <w:szCs w:val="22"/>
        </w:rPr>
        <w:t xml:space="preserve">Continue maximum contributions to the sequence above</w:t>
      </w:r>
    </w:p>
    <w:p>
      <w:pPr>
        <w:pStyle w:val="ListParagraph"/>
        <w:numPr>
          <w:ilvl w:val="0"/>
          <w:numId w:val="2"/>
        </w:numPr>
        <w:spacing w:after="60" w:before="60"/>
      </w:pPr>
      <w:r>
        <w:rPr>
          <w:rFonts w:ascii="Arial" w:cs="Arial" w:eastAsia="Arial" w:hAnsi="Arial"/>
          <w:color w:val="2D2D2D"/>
          <w:sz w:val="22"/>
          <w:szCs w:val="22"/>
        </w:rPr>
        <w:t xml:space="preserve">Rebalance your portfolio once at the year mark (takes 20 minutes)</w:t>
      </w:r>
    </w:p>
    <w:p>
      <w:pPr>
        <w:pStyle w:val="ListParagraph"/>
        <w:numPr>
          <w:ilvl w:val="0"/>
          <w:numId w:val="2"/>
        </w:numPr>
        <w:spacing w:after="60" w:before="60"/>
      </w:pPr>
      <w:r>
        <w:rPr>
          <w:rFonts w:ascii="Arial" w:cs="Arial" w:eastAsia="Arial" w:hAnsi="Arial"/>
          <w:color w:val="2D2D2D"/>
          <w:sz w:val="22"/>
          <w:szCs w:val="22"/>
        </w:rPr>
        <w:t xml:space="preserve">Increase savings rate by 1–2% after any raise (before lifestyle inflates to absorb it)</w:t>
      </w:r>
    </w:p>
    <w:p>
      <w:pPr>
        <w:pStyle w:val="ListParagraph"/>
        <w:numPr>
          <w:ilvl w:val="0"/>
          <w:numId w:val="2"/>
        </w:numPr>
        <w:spacing w:after="60" w:before="60"/>
      </w:pPr>
      <w:r>
        <w:rPr>
          <w:rFonts w:ascii="Arial" w:cs="Arial" w:eastAsia="Arial" w:hAnsi="Arial"/>
          <w:color w:val="2D2D2D"/>
          <w:sz w:val="22"/>
          <w:szCs w:val="22"/>
        </w:rPr>
        <w:t xml:space="preserve">Track net worth monthly — you will see the inflection point where investment returns start visibly contributing</w:t>
      </w:r>
    </w:p>
    <w:p>
      <w:pPr>
        <w:pStyle w:val="ListParagraph"/>
        <w:numPr>
          <w:ilvl w:val="0"/>
          <w:numId w:val="2"/>
        </w:numPr>
        <w:spacing w:after="60" w:before="60"/>
      </w:pPr>
      <w:r>
        <w:rPr>
          <w:rFonts w:ascii="Arial" w:cs="Arial" w:eastAsia="Arial" w:hAnsi="Arial"/>
          <w:color w:val="2D2D2D"/>
          <w:sz w:val="22"/>
          <w:szCs w:val="22"/>
        </w:rPr>
        <w:t xml:space="preserve">Do not change your investment strategy based on market news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D5EED9" w:val="clear"/>
            <w:tcMar>
              <w:top w:type="dxa" w:w="160"/>
              <w:left w:type="dxa" w:w="260"/>
              <w:bottom w:type="dxa" w:w="160"/>
              <w:right w:type="dxa" w:w="260"/>
            </w:tcMar>
          </w:tcPr>
          <w:p>
            <w:pPr>
              <w:spacing w:after="60" w:before="60"/>
            </w:pPr>
            <w:r>
              <w:rPr>
                <w:rFonts w:ascii="Arial" w:cs="Arial" w:eastAsia="Arial" w:hAnsi="Arial"/>
                <w:b/>
                <w:bCs/>
                <w:color w:val="1A7A4A"/>
                <w:sz w:val="22"/>
                <w:szCs w:val="22"/>
              </w:rPr>
              <w:t xml:space="preserve">Year 3 Net Worth Target: </w:t>
            </w:r>
            <w:r>
              <w:rPr>
                <w:rFonts w:ascii="Arial" w:cs="Arial" w:eastAsia="Arial" w:hAnsi="Arial"/>
                <w:b/>
                <w:bCs/>
                <w:color w:val="1B3A6B"/>
                <w:sz w:val="22"/>
                <w:szCs w:val="22"/>
              </w:rPr>
              <w:t xml:space="preserve">$80,000–$120,000</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Exact Sequence of Financial Moves</w:t>
      </w:r>
    </w:p>
    <w:p>
      <w:pPr>
        <w:spacing w:after="80" w:before="80"/>
      </w:pPr>
      <w:r>
        <w:rPr>
          <w:rFonts w:ascii="Arial" w:cs="Arial" w:eastAsia="Arial" w:hAnsi="Arial"/>
          <w:color w:val="2D2D2D"/>
          <w:sz w:val="22"/>
          <w:szCs w:val="22"/>
        </w:rPr>
        <w:t xml:space="preserve">This is the order of operations. Do not skip steps. Do not do Step 5 before completing Step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Action</w:t>
            </w:r>
          </w:p>
        </w:tc>
        <w:tc>
          <w:tcPr>
            <w:tcW w:type="dxa" w:w="6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Why This Order</w:t>
            </w:r>
          </w:p>
        </w:tc>
      </w:tr>
      <w:tr>
        <w:tc>
          <w:tcPr>
            <w:tcW w:type="dxa" w:w="5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18"/>
                <w:szCs w:val="18"/>
              </w:rPr>
              <w:t xml:space="preserve">1</w:t>
            </w:r>
          </w:p>
        </w:tc>
        <w:tc>
          <w:tcPr>
            <w:tcW w:type="dxa" w:w="26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B3A6B"/>
                <w:sz w:val="18"/>
                <w:szCs w:val="18"/>
              </w:rPr>
              <w:t xml:space="preserve">$1,000 starter emergency fund</w:t>
            </w:r>
          </w:p>
        </w:tc>
        <w:tc>
          <w:tcPr>
            <w:tcW w:type="dxa" w:w="62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18"/>
                <w:szCs w:val="18"/>
              </w:rPr>
              <w:t xml:space="preserve">Prevents new debt when life happens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Pay off all debt above 7% interest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Guaranteed return higher than market average</w:t>
            </w:r>
          </w:p>
        </w:tc>
      </w:tr>
      <w:tr>
        <w:tc>
          <w:tcPr>
            <w:tcW w:type="dxa" w:w="5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18"/>
                <w:szCs w:val="18"/>
              </w:rPr>
              <w:t xml:space="preserve">3</w:t>
            </w:r>
          </w:p>
        </w:tc>
        <w:tc>
          <w:tcPr>
            <w:tcW w:type="dxa" w:w="26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B3A6B"/>
                <w:sz w:val="18"/>
                <w:szCs w:val="18"/>
              </w:rPr>
              <w:t xml:space="preserve">401(k) to employer match</w:t>
            </w:r>
          </w:p>
        </w:tc>
        <w:tc>
          <w:tcPr>
            <w:tcW w:type="dxa" w:w="62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18"/>
                <w:szCs w:val="18"/>
              </w:rPr>
              <w:t xml:space="preserve">50–100% instant return — always claim this first</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HSA to maximum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Triple tax advantage, no other account competes</w:t>
            </w:r>
          </w:p>
        </w:tc>
      </w:tr>
      <w:tr>
        <w:tc>
          <w:tcPr>
            <w:tcW w:type="dxa" w:w="5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18"/>
                <w:szCs w:val="18"/>
              </w:rPr>
              <w:t xml:space="preserve">5</w:t>
            </w:r>
          </w:p>
        </w:tc>
        <w:tc>
          <w:tcPr>
            <w:tcW w:type="dxa" w:w="26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B3A6B"/>
                <w:sz w:val="18"/>
                <w:szCs w:val="18"/>
              </w:rPr>
              <w:t xml:space="preserve">Roth IRA to maximum</w:t>
            </w:r>
          </w:p>
        </w:tc>
        <w:tc>
          <w:tcPr>
            <w:tcW w:type="dxa" w:w="62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18"/>
                <w:szCs w:val="18"/>
              </w:rPr>
              <w:t xml:space="preserve">Tax-free compounding for decades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401(k) to full limit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Pre-tax growth, reduces taxable income now</w:t>
            </w:r>
          </w:p>
        </w:tc>
      </w:tr>
      <w:tr>
        <w:tc>
          <w:tcPr>
            <w:tcW w:type="dxa" w:w="56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A7A4A"/>
                <w:sz w:val="18"/>
                <w:szCs w:val="18"/>
              </w:rPr>
              <w:t xml:space="preserve">7</w:t>
            </w:r>
          </w:p>
        </w:tc>
        <w:tc>
          <w:tcPr>
            <w:tcW w:type="dxa" w:w="26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bCs/>
                <w:color w:val="1B3A6B"/>
                <w:sz w:val="18"/>
                <w:szCs w:val="18"/>
              </w:rPr>
              <w:t xml:space="preserve">Taxable brokerage</w:t>
            </w:r>
          </w:p>
        </w:tc>
        <w:tc>
          <w:tcPr>
            <w:tcW w:type="dxa" w:w="6200"/>
            <w:tcBorders>
              <w:top w:val="single" w:color="CCCCCC" w:sz="1"/>
              <w:left w:val="single" w:color="CCCCCC" w:sz="1"/>
              <w:bottom w:val="single" w:color="CCCCCC" w:sz="1"/>
              <w:right w:val="single" w:color="CCCCCC" w:sz="1"/>
            </w:tcBorders>
            <w:shd w:fill="D5EED9" w:val="clear"/>
            <w:tcMar>
              <w:top w:type="dxa" w:w="100"/>
              <w:left w:type="dxa" w:w="140"/>
              <w:bottom w:type="dxa" w:w="100"/>
              <w:right w:type="dxa" w:w="140"/>
            </w:tcMar>
          </w:tcPr>
          <w:p>
            <w:r>
              <w:rPr>
                <w:rFonts w:ascii="Arial" w:cs="Arial" w:eastAsia="Arial" w:hAnsi="Arial"/>
                <w:b w:val="false"/>
                <w:bCs w:val="false"/>
                <w:color w:val="2D2D2D"/>
                <w:sz w:val="18"/>
                <w:szCs w:val="18"/>
              </w:rPr>
              <w:t xml:space="preserve">Unlimited, flexible, no withdrawal restrictions</w:t>
            </w:r>
          </w:p>
        </w:tc>
      </w:tr>
      <w:tr>
        <w:tc>
          <w:tcPr>
            <w:tcW w:type="dxa" w:w="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Full 3–6 month emergency fund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D2D2D"/>
                <w:sz w:val="18"/>
                <w:szCs w:val="18"/>
              </w:rPr>
              <w:t xml:space="preserve">Now that debt is gone, build the full buffer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Note on Step 8 timing: </w:t>
            </w:r>
          </w:p>
          <w:p>
            <w:pPr>
              <w:spacing w:after="60" w:before="60"/>
            </w:pPr>
            <w:r>
              <w:rPr>
                <w:rFonts w:ascii="Arial" w:cs="Arial" w:eastAsia="Arial" w:hAnsi="Arial"/>
                <w:color w:val="2D2D2D"/>
                <w:sz w:val="22"/>
                <w:szCs w:val="22"/>
              </w:rPr>
              <w:t xml:space="preserve">Many advisors recommend the full emergency fund before investing. At average income with debt, this delays compounding significantly. The $1,000 starter fund covers most emergencies while you attack high-interest debt and start your 401(k) match. The full 3–6 month fund is built after the debt is clear and investments are running.</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Income Side: The Fastest Lever You Have</w:t>
      </w:r>
    </w:p>
    <w:p>
      <w:pPr>
        <w:spacing w:after="80" w:before="80"/>
      </w:pPr>
      <w:r>
        <w:rPr>
          <w:rFonts w:ascii="Arial" w:cs="Arial" w:eastAsia="Arial" w:hAnsi="Arial"/>
          <w:color w:val="2D2D2D"/>
          <w:sz w:val="22"/>
          <w:szCs w:val="22"/>
        </w:rPr>
        <w:t xml:space="preserve">Savings rate matters most in the early years. But at $50,000 income, there’s a mathematical floor: you cannot save more than you earn. The fastest way to accelerate the $100K timeline is to increase income — even modestly.</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What $500/Month in Additional Income Does to the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Starting Income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Additional $500/mo</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r>
              <w:rPr>
                <w:rFonts w:ascii="Arial" w:cs="Arial" w:eastAsia="Arial" w:hAnsi="Arial"/>
                <w:b/>
                <w:bCs/>
                <w:color w:val="FFFFFF"/>
                <w:sz w:val="18"/>
                <w:szCs w:val="18"/>
              </w:rPr>
              <w:t xml:space="preserve">Timeline Reduction</w:t>
            </w:r>
          </w:p>
        </w:tc>
      </w:tr>
      <w:tr>
        <w:tc>
          <w:tcPr>
            <w:tcW w:type="dxa" w:w="2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18"/>
                <w:szCs w:val="18"/>
              </w:rPr>
              <w:t xml:space="preserve">$50,000</w:t>
            </w:r>
          </w:p>
        </w:tc>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0E7C86"/>
                <w:sz w:val="18"/>
                <w:szCs w:val="18"/>
              </w:rPr>
              <w:t xml:space="preserve">→ $56,000</w:t>
            </w:r>
          </w:p>
        </w:tc>
        <w:tc>
          <w:tcPr>
            <w:tcW w:type="dxa" w:w="3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A7A4A"/>
                <w:sz w:val="18"/>
                <w:szCs w:val="18"/>
              </w:rPr>
              <w:t xml:space="preserve">~6 months faster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$60,000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E7C86"/>
                <w:sz w:val="18"/>
                <w:szCs w:val="18"/>
              </w:rPr>
              <w:t xml:space="preserve">→ $66,000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7A4A"/>
                <w:sz w:val="18"/>
                <w:szCs w:val="18"/>
              </w:rPr>
              <w:t xml:space="preserve">~5 months faster</w:t>
            </w:r>
          </w:p>
        </w:tc>
      </w:tr>
      <w:tr>
        <w:tc>
          <w:tcPr>
            <w:tcW w:type="dxa" w:w="2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B3A6B"/>
                <w:sz w:val="18"/>
                <w:szCs w:val="18"/>
              </w:rPr>
              <w:t xml:space="preserve">$70,000</w:t>
            </w:r>
          </w:p>
        </w:tc>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0E7C86"/>
                <w:sz w:val="18"/>
                <w:szCs w:val="18"/>
              </w:rPr>
              <w:t xml:space="preserve">→ $76,000</w:t>
            </w:r>
          </w:p>
        </w:tc>
        <w:tc>
          <w:tcPr>
            <w:tcW w:type="dxa" w:w="3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tcPr>
          <w:p>
            <w:r>
              <w:rPr>
                <w:rFonts w:ascii="Arial" w:cs="Arial" w:eastAsia="Arial" w:hAnsi="Arial"/>
                <w:b/>
                <w:bCs/>
                <w:color w:val="1A7A4A"/>
                <w:sz w:val="18"/>
                <w:szCs w:val="18"/>
              </w:rPr>
              <w:t xml:space="preserve">~4 months faster</w:t>
            </w:r>
          </w:p>
        </w:tc>
      </w:tr>
    </w:tbl>
    <w:p>
      <w:pPr>
        <w:spacing w:after="0" w:before="120"/>
      </w:pPr>
      <w:r>
        <w:t xml:space="preserve"/>
      </w:r>
    </w:p>
    <w:p>
      <w:pPr>
        <w:pStyle w:val="Heading2"/>
        <w:spacing w:after="120" w:before="300"/>
      </w:pPr>
      <w:r>
        <w:rPr>
          <w:rFonts w:ascii="Arial" w:cs="Arial" w:eastAsia="Arial" w:hAnsi="Arial"/>
          <w:b/>
          <w:bCs/>
          <w:color w:val="1B3A6B"/>
          <w:sz w:val="26"/>
          <w:szCs w:val="26"/>
        </w:rPr>
        <w:t xml:space="preserve">How to Find $500/Month in Additional Income</w:t>
      </w:r>
    </w:p>
    <w:p>
      <w:pPr>
        <w:pStyle w:val="ListParagraph"/>
        <w:numPr>
          <w:ilvl w:val="0"/>
          <w:numId w:val="2"/>
        </w:numPr>
        <w:spacing w:after="60" w:before="60"/>
      </w:pPr>
      <w:r>
        <w:rPr>
          <w:rFonts w:ascii="Arial" w:cs="Arial" w:eastAsia="Arial" w:hAnsi="Arial"/>
          <w:b/>
          <w:bCs/>
          <w:color w:val="1B3A6B"/>
          <w:sz w:val="22"/>
          <w:szCs w:val="22"/>
        </w:rPr>
        <w:t xml:space="preserve">Negotiate a raise </w:t>
      </w:r>
      <w:r>
        <w:rPr>
          <w:rFonts w:ascii="Arial" w:cs="Arial" w:eastAsia="Arial" w:hAnsi="Arial"/>
          <w:color w:val="2D2D2D"/>
          <w:sz w:val="22"/>
          <w:szCs w:val="22"/>
        </w:rPr>
        <w:t xml:space="preserve">(the highest ROI action available — one conversation, permanent increase)</w:t>
      </w:r>
    </w:p>
    <w:p>
      <w:pPr>
        <w:pStyle w:val="ListParagraph"/>
        <w:numPr>
          <w:ilvl w:val="0"/>
          <w:numId w:val="2"/>
        </w:numPr>
        <w:spacing w:after="60" w:before="60"/>
      </w:pPr>
      <w:r>
        <w:rPr>
          <w:rFonts w:ascii="Arial" w:cs="Arial" w:eastAsia="Arial" w:hAnsi="Arial"/>
          <w:b/>
          <w:bCs/>
          <w:color w:val="1B3A6B"/>
          <w:sz w:val="22"/>
          <w:szCs w:val="22"/>
        </w:rPr>
        <w:t xml:space="preserve">Sell skills as a freelancer </w:t>
      </w:r>
      <w:r>
        <w:rPr>
          <w:rFonts w:ascii="Arial" w:cs="Arial" w:eastAsia="Arial" w:hAnsi="Arial"/>
          <w:color w:val="2D2D2D"/>
          <w:sz w:val="22"/>
          <w:szCs w:val="22"/>
        </w:rPr>
        <w:t xml:space="preserve">5–10 hours/week (writing, design, bookkeeping, tutoring, virtual assistance)</w:t>
      </w:r>
    </w:p>
    <w:p>
      <w:pPr>
        <w:pStyle w:val="ListParagraph"/>
        <w:numPr>
          <w:ilvl w:val="0"/>
          <w:numId w:val="2"/>
        </w:numPr>
        <w:spacing w:after="60" w:before="60"/>
      </w:pPr>
      <w:r>
        <w:rPr>
          <w:rFonts w:ascii="Arial" w:cs="Arial" w:eastAsia="Arial" w:hAnsi="Arial"/>
          <w:b/>
          <w:bCs/>
          <w:color w:val="1B3A6B"/>
          <w:sz w:val="22"/>
          <w:szCs w:val="22"/>
        </w:rPr>
        <w:t xml:space="preserve">Sell physical items </w:t>
      </w:r>
      <w:r>
        <w:rPr>
          <w:rFonts w:ascii="Arial" w:cs="Arial" w:eastAsia="Arial" w:hAnsi="Arial"/>
          <w:color w:val="2D2D2D"/>
          <w:sz w:val="22"/>
          <w:szCs w:val="22"/>
        </w:rPr>
        <w:t xml:space="preserve">you own but don’t use (the average household has $500–$2,000 in sellable items)</w:t>
      </w:r>
    </w:p>
    <w:p>
      <w:pPr>
        <w:pStyle w:val="ListParagraph"/>
        <w:numPr>
          <w:ilvl w:val="0"/>
          <w:numId w:val="2"/>
        </w:numPr>
        <w:spacing w:after="60" w:before="60"/>
      </w:pPr>
      <w:r>
        <w:rPr>
          <w:rFonts w:ascii="Arial" w:cs="Arial" w:eastAsia="Arial" w:hAnsi="Arial"/>
          <w:b/>
          <w:bCs/>
          <w:color w:val="1B3A6B"/>
          <w:sz w:val="22"/>
          <w:szCs w:val="22"/>
        </w:rPr>
        <w:t xml:space="preserve">Part-time work </w:t>
      </w:r>
      <w:r>
        <w:rPr>
          <w:rFonts w:ascii="Arial" w:cs="Arial" w:eastAsia="Arial" w:hAnsi="Arial"/>
          <w:color w:val="2D2D2D"/>
          <w:sz w:val="22"/>
          <w:szCs w:val="22"/>
        </w:rPr>
        <w:t xml:space="preserve">for a defined sprint (6–12 months) specifically directed at the $100K goal</w:t>
      </w:r>
    </w:p>
    <w:p>
      <w:pPr>
        <w:pStyle w:val="ListParagraph"/>
        <w:numPr>
          <w:ilvl w:val="0"/>
          <w:numId w:val="2"/>
        </w:numPr>
        <w:spacing w:after="60" w:before="60"/>
      </w:pPr>
      <w:r>
        <w:rPr>
          <w:rFonts w:ascii="Arial" w:cs="Arial" w:eastAsia="Arial" w:hAnsi="Arial"/>
          <w:b/>
          <w:bCs/>
          <w:color w:val="1B3A6B"/>
          <w:sz w:val="22"/>
          <w:szCs w:val="22"/>
        </w:rPr>
        <w:t xml:space="preserve">Rent an asset you own: </w:t>
      </w:r>
      <w:r>
        <w:rPr>
          <w:rFonts w:ascii="Arial" w:cs="Arial" w:eastAsia="Arial" w:hAnsi="Arial"/>
          <w:color w:val="2D2D2D"/>
          <w:sz w:val="22"/>
          <w:szCs w:val="22"/>
        </w:rPr>
        <w:t xml:space="preserve">car (Turo), room (Airbnb), parking space, storage 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b/>
                <w:bCs/>
                <w:color w:val="1B3A6B"/>
                <w:sz w:val="22"/>
                <w:szCs w:val="22"/>
              </w:rPr>
              <w:t xml:space="preserve">The key discipline: </w:t>
            </w:r>
            <w:r>
              <w:rPr>
                <w:rFonts w:ascii="Arial" w:cs="Arial" w:eastAsia="Arial" w:hAnsi="Arial"/>
                <w:color w:val="2D2D2D"/>
                <w:sz w:val="22"/>
                <w:szCs w:val="22"/>
              </w:rPr>
              <w:t xml:space="preserve">Every dollar of additional income goes directly to the financial sequence — not to lifestyle upgrades. The sprint period is time-limited. The wealth it builds is permanent.</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7 Tips That Keep You On Track for 36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Automate the Savings Gap</w:t>
            </w:r>
          </w:p>
          <w:p>
            <w:pPr>
              <w:spacing w:after="0" w:before="0"/>
            </w:pPr>
            <w:r>
              <w:rPr>
                <w:rFonts w:ascii="Arial" w:cs="Arial" w:eastAsia="Arial" w:hAnsi="Arial"/>
                <w:color w:val="2D2D2D"/>
                <w:sz w:val="20"/>
                <w:szCs w:val="20"/>
              </w:rPr>
              <w:t xml:space="preserve">On payday, automatically transfer your savings target to a separate account before you can see or spend it. Set up a direct deposit split or same-day automatic transfer. The money that isn’t in your checking account isn’t tempting.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24-Hour Rule</w:t>
            </w:r>
          </w:p>
          <w:p>
            <w:pPr>
              <w:spacing w:after="0" w:before="0"/>
            </w:pPr>
            <w:r>
              <w:rPr>
                <w:rFonts w:ascii="Arial" w:cs="Arial" w:eastAsia="Arial" w:hAnsi="Arial"/>
                <w:color w:val="2D2D2D"/>
                <w:sz w:val="20"/>
                <w:szCs w:val="20"/>
              </w:rPr>
              <w:t xml:space="preserve">Before any non-essential purchase above $50, wait 24 hours. Above $200, wait 72 hours. Above $500, wait one week. Most discretionary spending impulses evaporate within 24 hours. The ones that don’t are usually genuine preferences worth accommodating.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Your Savings Rate Is the Only Variable You Fully Control</w:t>
            </w:r>
          </w:p>
          <w:p>
            <w:pPr>
              <w:spacing w:after="0" w:before="0"/>
            </w:pPr>
            <w:r>
              <w:rPr>
                <w:rFonts w:ascii="Arial" w:cs="Arial" w:eastAsia="Arial" w:hAnsi="Arial"/>
                <w:color w:val="2D2D2D"/>
                <w:sz w:val="20"/>
                <w:szCs w:val="20"/>
              </w:rPr>
              <w:t xml:space="preserve">Investment returns vary. Income takes time to increase. Expenses have some floor. But the savings rate — the percentage of take-home pay you direct to financial progress — is entirely your decision every month. Track it. Know your number.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Track Net Worth Weekly</w:t>
            </w:r>
          </w:p>
          <w:p>
            <w:pPr>
              <w:spacing w:after="0" w:before="0"/>
            </w:pPr>
            <w:r>
              <w:rPr>
                <w:rFonts w:ascii="Arial" w:cs="Arial" w:eastAsia="Arial" w:hAnsi="Arial"/>
                <w:color w:val="2D2D2D"/>
                <w:sz w:val="20"/>
                <w:szCs w:val="20"/>
              </w:rPr>
              <w:t xml:space="preserve">Download a free net worth tracker (Personal Capital or a simple Google Sheet). Update it every Sunday. This makes progress visible before it feels significant and keeps you connected to the goal when spending temptations arise.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A Paid-Off Debt Is a Guaranteed Return</w:t>
            </w:r>
          </w:p>
          <w:p>
            <w:pPr>
              <w:spacing w:after="0" w:before="0"/>
            </w:pPr>
            <w:r>
              <w:rPr>
                <w:rFonts w:ascii="Arial" w:cs="Arial" w:eastAsia="Arial" w:hAnsi="Arial"/>
                <w:color w:val="2D2D2D"/>
                <w:sz w:val="20"/>
                <w:szCs w:val="20"/>
              </w:rPr>
              <w:t xml:space="preserve">Paying off a 22% credit card balance is a guaranteed 22% return — risk-free, tax-free, and immediate. No investment offers this. When you eliminate a high-interest debt, celebrate it the same way you’d celebrate a great investment gain. Because mathematically, it is 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Lifestyle Inflation Trap at Every Raise</w:t>
            </w:r>
          </w:p>
          <w:p>
            <w:pPr>
              <w:spacing w:after="0" w:before="0"/>
            </w:pPr>
            <w:r>
              <w:rPr>
                <w:rFonts w:ascii="Arial" w:cs="Arial" w:eastAsia="Arial" w:hAnsi="Arial"/>
                <w:color w:val="2D2D2D"/>
                <w:sz w:val="20"/>
                <w:szCs w:val="20"/>
              </w:rPr>
              <w:t xml:space="preserve">When income increases, most people immediately increase their lifestyle proportionally. The discipline during the $100K sprint: when you get a raise, redirect 50–75% of the after-tax increase directly to the financial sequence before adjusting your lifestyle at all.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E7C86"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D5EE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Housing Is Your Biggest Lever</w:t>
            </w:r>
          </w:p>
          <w:p>
            <w:pPr>
              <w:spacing w:after="0" w:before="0"/>
            </w:pPr>
            <w:r>
              <w:rPr>
                <w:rFonts w:ascii="Arial" w:cs="Arial" w:eastAsia="Arial" w:hAnsi="Arial"/>
                <w:color w:val="2D2D2D"/>
                <w:sz w:val="20"/>
                <w:szCs w:val="20"/>
              </w:rPr>
              <w:t xml:space="preserve">Housing typically consumes 30–40% of after-tax income. Reducing housing cost by $400/month produces $4,800/year in additional savings — the equivalent of a 10% raise for a $50,000 earner. Options: roommate, lower-cost unit, house hacking.</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5 Hacks That Accelerate the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Cash Windfall Protocol</w:t>
            </w:r>
          </w:p>
          <w:p>
            <w:pPr>
              <w:spacing w:after="0" w:before="0"/>
            </w:pPr>
            <w:r>
              <w:rPr>
                <w:rFonts w:ascii="Arial" w:cs="Arial" w:eastAsia="Arial" w:hAnsi="Arial"/>
                <w:color w:val="2D2D2D"/>
                <w:sz w:val="20"/>
                <w:szCs w:val="20"/>
              </w:rPr>
              <w:t xml:space="preserve">Every unexpected cash inflow — tax refund, work bonus, birthday money, side income — goes directly to the current step in the financial sequence before lifestyle absorbs it. Not partially. Not half. All of it. The average U.S. tax refund is over $3,000 — directed at a Roth IRA, it’s 43% of your annual limit instantly.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50% Raise Rule</w:t>
            </w:r>
          </w:p>
          <w:p>
            <w:pPr>
              <w:spacing w:after="0" w:before="0"/>
            </w:pPr>
            <w:r>
              <w:rPr>
                <w:rFonts w:ascii="Arial" w:cs="Arial" w:eastAsia="Arial" w:hAnsi="Arial"/>
                <w:color w:val="2D2D2D"/>
                <w:sz w:val="20"/>
                <w:szCs w:val="20"/>
              </w:rPr>
              <w:t xml:space="preserve">Every raise, bonus, or income increase: direct 50% to your financial sequence before spending a dollar of the increase. If your raise adds $400/month to take-home, $200 goes to the sequence and $200 expands your lifestyle. Applied consistently over a 10-year career, this single habit produces a dramatically different net worth.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Direct Deposit Split</w:t>
            </w:r>
          </w:p>
          <w:p>
            <w:pPr>
              <w:spacing w:after="0" w:before="0"/>
            </w:pPr>
            <w:r>
              <w:rPr>
                <w:rFonts w:ascii="Arial" w:cs="Arial" w:eastAsia="Arial" w:hAnsi="Arial"/>
                <w:color w:val="2D2D2D"/>
                <w:sz w:val="20"/>
                <w:szCs w:val="20"/>
              </w:rPr>
              <w:t xml:space="preserve">Contact your payroll department and set up a direct deposit split: a fixed dollar amount goes directly to your investment or savings account. The remainder goes to checking. The investment never touches your checking account, which means it never competes with spending decisions.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The 90-Day Frugality Sprint</w:t>
            </w:r>
          </w:p>
          <w:p>
            <w:pPr>
              <w:spacing w:after="0" w:before="0"/>
            </w:pPr>
            <w:r>
              <w:rPr>
                <w:rFonts w:ascii="Arial" w:cs="Arial" w:eastAsia="Arial" w:hAnsi="Arial"/>
                <w:color w:val="2D2D2D"/>
                <w:sz w:val="20"/>
                <w:szCs w:val="20"/>
              </w:rPr>
              <w:t xml:space="preserve">Commit to a defined 90-day period of aggressive savings — eliminating every non-essential expense, decluttering and selling items, and redirecting every available dollar to the financial sequence. The sprint is intense but time-limited. The 90-day commitment is psychologically easier to maintain than “be frugal forever.”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3A6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D8E4F0" w:val="clear"/>
            <w:tcMar>
              <w:top w:type="dxa" w:w="140"/>
              <w:left w:type="dxa" w:w="220"/>
              <w:bottom w:type="dxa" w:w="140"/>
              <w:right w:type="dxa" w:w="220"/>
            </w:tcMar>
          </w:tcPr>
          <w:p>
            <w:pPr>
              <w:spacing w:after="60" w:before="0"/>
            </w:pPr>
            <w:r>
              <w:rPr>
                <w:rFonts w:ascii="Arial" w:cs="Arial" w:eastAsia="Arial" w:hAnsi="Arial"/>
                <w:b/>
                <w:bCs/>
                <w:color w:val="1B3A6B"/>
                <w:sz w:val="22"/>
                <w:szCs w:val="22"/>
              </w:rPr>
              <w:t xml:space="preserve">Net Worth Milestone Visualization</w:t>
            </w:r>
          </w:p>
          <w:p>
            <w:pPr>
              <w:spacing w:after="0" w:before="0"/>
            </w:pPr>
            <w:r>
              <w:rPr>
                <w:rFonts w:ascii="Arial" w:cs="Arial" w:eastAsia="Arial" w:hAnsi="Arial"/>
                <w:color w:val="2D2D2D"/>
                <w:sz w:val="20"/>
                <w:szCs w:val="20"/>
              </w:rPr>
              <w:t xml:space="preserve">Write down your net worth target for every 6 months through Month 36. Tracking weekly keeps the goal present. Hitting 6-month milestones provides proof that the system works. When you hit Month 12 and your net worth matches your projection, the belief that Month 36 is achievable stops being abstract — it’s been proven by your own data.</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Milestone Killers to Avoid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Investing Before Eliminating High-Interest Debt</w:t>
            </w:r>
          </w:p>
          <w:p>
            <w:pPr>
              <w:spacing w:after="0" w:before="0"/>
            </w:pPr>
            <w:r>
              <w:rPr>
                <w:rFonts w:ascii="Arial" w:cs="Arial" w:eastAsia="Arial" w:hAnsi="Arial"/>
                <w:color w:val="2D2D2D"/>
                <w:sz w:val="20"/>
                <w:szCs w:val="20"/>
              </w:rPr>
              <w:t xml:space="preserve">Investing in index funds at a 7–10% expected return while carrying credit card debt at 22–29% is a guaranteed net loss. Pay off all debt above 7–8% interest before investing beyond your employer match. This isn’t a preference — it’s arithmetic.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Skipping the Starter Emergency Fund</w:t>
            </w:r>
          </w:p>
          <w:p>
            <w:pPr>
              <w:spacing w:after="0" w:before="0"/>
            </w:pPr>
            <w:r>
              <w:rPr>
                <w:rFonts w:ascii="Arial" w:cs="Arial" w:eastAsia="Arial" w:hAnsi="Arial"/>
                <w:color w:val="2D2D2D"/>
                <w:sz w:val="20"/>
                <w:szCs w:val="20"/>
              </w:rPr>
              <w:t xml:space="preserve">Going straight from $0 savings to debt payoff without a $1,000 emergency buffer guarantees regression. One car repair, one medical copay, one broken appliance sends you back to the credit card. The $1,000 buffer is not savings — it’s insurance that protects the progress you’re about to make.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Lifestyle Inflation Before the Milestone</w:t>
            </w:r>
          </w:p>
          <w:p>
            <w:pPr>
              <w:spacing w:after="0" w:before="0"/>
            </w:pPr>
            <w:r>
              <w:rPr>
                <w:rFonts w:ascii="Arial" w:cs="Arial" w:eastAsia="Arial" w:hAnsi="Arial"/>
                <w:color w:val="2D2D2D"/>
                <w:sz w:val="20"/>
                <w:szCs w:val="20"/>
              </w:rPr>
              <w:t xml:space="preserve">Celebrating early income growth with a nicer apartment, a newer car, or elevated spending is the most common reason the 3-year timeline becomes 7 years. The lifestyle upgrade is delayed until the milestone is hit. At $100K net worth, you’ve earned the upgrade. Before $100K, every lifestyle expansion is borrowing from the compounding engine you’re trying to build.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Stopping at One Tax-Advantaged Account</w:t>
            </w:r>
          </w:p>
          <w:p>
            <w:pPr>
              <w:spacing w:after="0" w:before="0"/>
            </w:pPr>
            <w:r>
              <w:rPr>
                <w:rFonts w:ascii="Arial" w:cs="Arial" w:eastAsia="Arial" w:hAnsi="Arial"/>
                <w:color w:val="2D2D2D"/>
                <w:sz w:val="20"/>
                <w:szCs w:val="20"/>
              </w:rPr>
              <w:t xml:space="preserve">Many people open a 401(k) and consider themselves investors. They miss the Roth IRA, the HSA, and additional 401(k) contribution room. The difference between only a 401(k) and stacking 401(k) + HSA + Roth IRA is often $15,000–$20,000/year in tax-sheltered contributions. At 22% marginal rate, that’s $3,300–$4,400/year in tax savings alone.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Changing Investment Strategy During Market Drops</w:t>
            </w:r>
          </w:p>
          <w:p>
            <w:pPr>
              <w:spacing w:after="0" w:before="0"/>
            </w:pPr>
            <w:r>
              <w:rPr>
                <w:rFonts w:ascii="Arial" w:cs="Arial" w:eastAsia="Arial" w:hAnsi="Arial"/>
                <w:color w:val="2D2D2D"/>
                <w:sz w:val="20"/>
                <w:szCs w:val="20"/>
              </w:rPr>
              <w:t xml:space="preserve">The S&amp;P 500 drops 20–40% during recessions. It has recovered to new highs every single time. The investor who holds through the drop and continues automatic contributions recovers fully and then some. The investor who panic-sells at the bottom locks in permanent losses. During your 3-year sprint, the market will drop at some point. Your instructions: do nothing. Keep contributing.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Comparing Your Timeline to Others’</w:t>
            </w:r>
          </w:p>
          <w:p>
            <w:pPr>
              <w:spacing w:after="0" w:before="0"/>
            </w:pPr>
            <w:r>
              <w:rPr>
                <w:rFonts w:ascii="Arial" w:cs="Arial" w:eastAsia="Arial" w:hAnsi="Arial"/>
                <w:color w:val="2D2D2D"/>
                <w:sz w:val="20"/>
                <w:szCs w:val="20"/>
              </w:rPr>
              <w:t xml:space="preserve">Someone who inherited $50,000 will hit $100K faster than someone starting from zero. Someone earning $120,000 will hit it faster than someone earning $55,000. The blueprint is calibrated to your income, your starting point, and your timeline. Comparing your Month 12 net worth to someone in a different situation produces only discouragement — not information.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0392B" w:val="clear"/>
            <w:tcMar>
              <w:top w:type="dxa" w:w="140"/>
              <w:left w:type="dxa" w:w="80"/>
              <w:bottom w:type="dxa" w:w="140"/>
              <w:right w:type="dxa" w:w="8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FDECEA" w:val="clear"/>
            <w:tcMar>
              <w:top w:type="dxa" w:w="140"/>
              <w:left w:type="dxa" w:w="220"/>
              <w:bottom w:type="dxa" w:w="140"/>
              <w:right w:type="dxa" w:w="220"/>
            </w:tcMar>
          </w:tcPr>
          <w:p>
            <w:pPr>
              <w:spacing w:after="60" w:before="0"/>
            </w:pPr>
            <w:r>
              <w:rPr>
                <w:rFonts w:ascii="Arial" w:cs="Arial" w:eastAsia="Arial" w:hAnsi="Arial"/>
                <w:b/>
                <w:bCs/>
                <w:color w:val="C0392B"/>
                <w:sz w:val="22"/>
                <w:szCs w:val="22"/>
              </w:rPr>
              <w:t xml:space="preserve">Not Accounting for Taxes</w:t>
            </w:r>
          </w:p>
          <w:p>
            <w:pPr>
              <w:spacing w:after="0" w:before="0"/>
            </w:pPr>
            <w:r>
              <w:rPr>
                <w:rFonts w:ascii="Arial" w:cs="Arial" w:eastAsia="Arial" w:hAnsi="Arial"/>
                <w:color w:val="2D2D2D"/>
                <w:sz w:val="20"/>
                <w:szCs w:val="20"/>
              </w:rPr>
              <w:t xml:space="preserve">Pre-tax 401(k) contributions reduce your taxable income — a $500/month 401(k) contribution at the 22% bracket only reduces your take-home by approximately $390. The government absorbs the other $110 in forgone taxes. Factor this into your savings math: maximizing pre-tax accounts makes the savings rate more achievable than the gross contribution amount suggests.</w:t>
            </w:r>
          </w:p>
        </w:tc>
      </w:tr>
    </w:tbl>
    <w:p>
      <w:pPr>
        <w:spacing w:after="0" w:before="200"/>
      </w:pPr>
      <w:r>
        <w:t xml:space="preserve"/>
      </w:r>
    </w:p>
    <w:p>
      <w:pPr>
        <w:pStyle w:val="Heading1"/>
        <w:spacing w:after="180" w:before="440"/>
      </w:pPr>
      <w:r>
        <w:rPr>
          <w:rFonts w:ascii="Arial" w:cs="Arial" w:eastAsia="Arial" w:hAnsi="Arial"/>
          <w:b/>
          <w:bCs/>
          <w:color w:val="1B3A6B"/>
          <w:sz w:val="36"/>
          <w:szCs w:val="36"/>
        </w:rPr>
        <w:t xml:space="preserve">The Close: You’re Not Trying to Save Money. You’re Building an Irreversible Trajectory.</w:t>
      </w:r>
    </w:p>
    <w:p>
      <w:pPr>
        <w:spacing w:after="80" w:before="80"/>
      </w:pPr>
      <w:r>
        <w:rPr>
          <w:rFonts w:ascii="Arial" w:cs="Arial" w:eastAsia="Arial" w:hAnsi="Arial"/>
          <w:color w:val="2D2D2D"/>
          <w:sz w:val="22"/>
          <w:szCs w:val="22"/>
        </w:rPr>
        <w:t xml:space="preserve">There’s a moment in the $100K journey — usually somewhere around Month 18–24 — where something shifts. Your investment returns for the month are visible in your net worth tracking. Not dominant yet — but real. You contributed $2,000 and the market added $800. Your savings did 70% of the work and the money did 30%.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6"/>
              <w:bottom w:val="none" w:color="FFFFFF" w:sz="0"/>
              <w:right w:val="none" w:color="FFFFFF" w:sz="0"/>
            </w:tcBorders>
            <w:shd w:fill="D5EEF0" w:val="clear"/>
            <w:tcMar>
              <w:top w:type="dxa" w:w="160"/>
              <w:left w:type="dxa" w:w="260"/>
              <w:bottom w:type="dxa" w:w="160"/>
              <w:right w:type="dxa" w:w="260"/>
            </w:tcMar>
          </w:tcPr>
          <w:p>
            <w:pPr>
              <w:spacing w:after="60" w:before="60"/>
            </w:pPr>
            <w:r>
              <w:rPr>
                <w:rFonts w:ascii="Arial" w:cs="Arial" w:eastAsia="Arial" w:hAnsi="Arial"/>
                <w:color w:val="2D2D2D"/>
                <w:sz w:val="22"/>
                <w:szCs w:val="22"/>
              </w:rPr>
              <w:t xml:space="preserve">By Month 30, the split is closer to 60/40.</w:t>
            </w:r>
          </w:p>
          <w:p>
            <w:pPr>
              <w:spacing w:after="60" w:before="60"/>
            </w:pPr>
            <w:r>
              <w:rPr>
                <w:rFonts w:ascii="Arial" w:cs="Arial" w:eastAsia="Arial" w:hAnsi="Arial"/>
                <w:color w:val="2D2D2D"/>
                <w:sz w:val="22"/>
                <w:szCs w:val="22"/>
              </w:rPr>
              <w:t xml:space="preserve">By Year 5, your money will be doing as much work as you are.</w:t>
            </w:r>
          </w:p>
          <w:p>
            <w:pPr>
              <w:spacing w:after="60" w:before="60"/>
            </w:pPr>
            <w:r>
              <w:rPr>
                <w:rFonts w:ascii="Arial" w:cs="Arial" w:eastAsia="Arial" w:hAnsi="Arial"/>
                <w:b/>
                <w:bCs/>
                <w:color w:val="1B3A6B"/>
                <w:sz w:val="22"/>
                <w:szCs w:val="22"/>
              </w:rPr>
              <w:t xml:space="preserve">By Year 10, your money works harder than you do.</w:t>
            </w:r>
          </w:p>
        </w:tc>
      </w:tr>
    </w:tbl>
    <w:p>
      <w:pPr>
        <w:spacing w:after="0" w:before="100"/>
      </w:pPr>
      <w:r>
        <w:t xml:space="preserve"/>
      </w:r>
    </w:p>
    <w:p>
      <w:pPr>
        <w:spacing w:after="80" w:before="80"/>
      </w:pPr>
      <w:r>
        <w:rPr>
          <w:rFonts w:ascii="Arial" w:cs="Arial" w:eastAsia="Arial" w:hAnsi="Arial"/>
          <w:color w:val="2D2D2D"/>
          <w:sz w:val="22"/>
          <w:szCs w:val="22"/>
        </w:rPr>
        <w:t xml:space="preserve">The people who hit $100K in 3 years aren’t extraordinary earners. They aren’t financial geniuses. They followed the sequence, they didn’t inflate their lifestyle before the milestone, and they didn’t stop when the market dropped or the progress felt slow.</w:t>
      </w:r>
    </w:p>
    <w:p>
      <w:pPr>
        <w:spacing w:after="0" w:before="120"/>
      </w:pPr>
      <w:r>
        <w:t xml:space="preserve"/>
      </w:r>
    </w:p>
    <w:p>
      <w:pPr>
        <w:pStyle w:val="Heading2"/>
        <w:spacing w:after="120" w:before="300"/>
      </w:pPr>
      <w:r>
        <w:rPr>
          <w:rFonts w:ascii="Arial" w:cs="Arial" w:eastAsia="Arial" w:hAnsi="Arial"/>
          <w:b/>
          <w:bCs/>
          <w:color w:val="1B3A6B"/>
          <w:sz w:val="26"/>
          <w:szCs w:val="26"/>
        </w:rPr>
        <w:t xml:space="preserve">Your Next Move</w:t>
      </w:r>
    </w:p>
    <w:p>
      <w:pPr>
        <w:pStyle w:val="ListParagraph"/>
        <w:numPr>
          <w:ilvl w:val="0"/>
          <w:numId w:val="3"/>
        </w:numPr>
        <w:spacing w:after="80" w:before="80"/>
      </w:pPr>
      <w:r>
        <w:rPr>
          <w:rFonts w:ascii="Arial" w:cs="Arial" w:eastAsia="Arial" w:hAnsi="Arial"/>
          <w:color w:val="2D2D2D"/>
          <w:sz w:val="22"/>
          <w:szCs w:val="22"/>
        </w:rPr>
        <w:t xml:space="preserve">Calculate your current net worth today — assets minus liabilities, real number</w:t>
      </w:r>
    </w:p>
    <w:p>
      <w:pPr>
        <w:pStyle w:val="ListParagraph"/>
        <w:numPr>
          <w:ilvl w:val="0"/>
          <w:numId w:val="3"/>
        </w:numPr>
        <w:spacing w:after="80" w:before="80"/>
      </w:pPr>
      <w:r>
        <w:rPr>
          <w:rFonts w:ascii="Arial" w:cs="Arial" w:eastAsia="Arial" w:hAnsi="Arial"/>
          <w:color w:val="2D2D2D"/>
          <w:sz w:val="22"/>
          <w:szCs w:val="22"/>
        </w:rPr>
        <w:t xml:space="preserve">Identify your highest-interest debt — this is your first target</w:t>
      </w:r>
    </w:p>
    <w:p>
      <w:pPr>
        <w:pStyle w:val="ListParagraph"/>
        <w:numPr>
          <w:ilvl w:val="0"/>
          <w:numId w:val="3"/>
        </w:numPr>
        <w:spacing w:after="80" w:before="80"/>
      </w:pPr>
      <w:r>
        <w:rPr>
          <w:rFonts w:ascii="Arial" w:cs="Arial" w:eastAsia="Arial" w:hAnsi="Arial"/>
          <w:color w:val="2D2D2D"/>
          <w:sz w:val="22"/>
          <w:szCs w:val="22"/>
        </w:rPr>
        <w:t xml:space="preserve">Open a high-yield savings account this week and name it “Emergency Fund”</w:t>
      </w:r>
    </w:p>
    <w:p>
      <w:pPr>
        <w:pStyle w:val="ListParagraph"/>
        <w:numPr>
          <w:ilvl w:val="0"/>
          <w:numId w:val="3"/>
        </w:numPr>
        <w:spacing w:after="80" w:before="80"/>
      </w:pPr>
      <w:r>
        <w:rPr>
          <w:rFonts w:ascii="Arial" w:cs="Arial" w:eastAsia="Arial" w:hAnsi="Arial"/>
          <w:color w:val="2D2D2D"/>
          <w:sz w:val="22"/>
          <w:szCs w:val="22"/>
        </w:rPr>
        <w:t xml:space="preserve">Set up your 401(k) to capture the full employer match if you haven’t already</w:t>
      </w:r>
    </w:p>
    <w:p>
      <w:pPr>
        <w:pStyle w:val="ListParagraph"/>
        <w:numPr>
          <w:ilvl w:val="0"/>
          <w:numId w:val="3"/>
        </w:numPr>
        <w:spacing w:after="80" w:before="80"/>
      </w:pPr>
      <w:r>
        <w:rPr>
          <w:rFonts w:ascii="Arial" w:cs="Arial" w:eastAsia="Arial" w:hAnsi="Arial"/>
          <w:color w:val="2D2D2D"/>
          <w:sz w:val="22"/>
          <w:szCs w:val="22"/>
        </w:rPr>
        <w:t xml:space="preserve">Write down your 6-month net worth targets and put them somewhere you’ll see them weekly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6"/>
              <w:bottom w:val="none" w:color="FFFFFF" w:sz="0"/>
              <w:right w:val="none" w:color="FFFFFF" w:sz="0"/>
            </w:tcBorders>
            <w:shd w:fill="FDF4D5" w:val="clear"/>
            <w:tcMar>
              <w:top w:type="dxa" w:w="160"/>
              <w:left w:type="dxa" w:w="260"/>
              <w:bottom w:type="dxa" w:w="160"/>
              <w:right w:type="dxa" w:w="260"/>
            </w:tcMar>
          </w:tcPr>
          <w:p>
            <w:pPr>
              <w:spacing w:after="60" w:before="60"/>
            </w:pPr>
            <w:r>
              <w:rPr>
                <w:rFonts w:ascii="Arial" w:cs="Arial" w:eastAsia="Arial" w:hAnsi="Arial"/>
                <w:b/>
                <w:bCs/>
                <w:color w:val="1B3A6B"/>
                <w:sz w:val="24"/>
                <w:szCs w:val="24"/>
              </w:rPr>
              <w:t xml:space="preserve">The first $100,000 is hard. It’s supposed to be. But you have the blueprint now.</w:t>
            </w:r>
          </w:p>
          <w:p>
            <w:pPr>
              <w:spacing w:after="60" w:before="60"/>
            </w:pPr>
            <w:r>
              <w:rPr>
                <w:rFonts w:ascii="Arial" w:cs="Arial" w:eastAsia="Arial" w:hAnsi="Arial"/>
                <w:b/>
                <w:bCs/>
                <w:color w:val="0E7C86"/>
                <w:sz w:val="24"/>
                <w:szCs w:val="24"/>
              </w:rPr>
              <w:t xml:space="preserve">The trajectory is irreversible once you start it. Start it.</w:t>
            </w:r>
          </w:p>
        </w:tc>
      </w:tr>
    </w:tbl>
    <w:p>
      <w:pPr>
        <w:spacing w:after="0" w:before="200"/>
      </w:pPr>
      <w:r>
        <w:t xml:space="preserve"/>
      </w:r>
    </w:p>
    <w:p>
      <w:pPr>
        <w:spacing w:after="0" w:before="160"/>
        <w:jc w:val="center"/>
      </w:pPr>
      <w:r>
        <w:rPr>
          <w:rFonts w:ascii="Arial" w:cs="Arial" w:eastAsia="Arial" w:hAnsi="Arial"/>
          <w:i/>
          <w:iCs/>
          <w:color w:val="666666"/>
          <w:sz w:val="18"/>
          <w:szCs w:val="18"/>
        </w:rPr>
        <w:t xml:space="preserve">Part of the Wealth &amp; Personal Finance Transformation Series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2C" w:sz="4" w:space="4"/>
      </w:pBdr>
      <w:spacing w:before="120"/>
      <w:jc w:val="center"/>
    </w:pPr>
    <w:r>
      <w:rPr>
        <w:rFonts w:ascii="Arial" w:cs="Arial" w:eastAsia="Arial" w:hAnsi="Arial"/>
        <w:color w:val="666666"/>
        <w:sz w:val="16"/>
        <w:szCs w:val="16"/>
      </w:rPr>
      <w:t xml:space="preserve">Part of the Wealth &amp; Personal Finance Transformation Series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9A82C"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FIRST 100K BLUEPRINT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2026-03-31T17:33:09.502Z</dcterms:created>
  <dcterms:modified xsi:type="dcterms:W3CDTF">2026-03-31T17:33:09.503Z</dcterms:modified>
</cp:coreProperties>
</file>

<file path=docProps/custom.xml><?xml version="1.0" encoding="utf-8"?>
<Properties xmlns="http://schemas.openxmlformats.org/officeDocument/2006/custom-properties" xmlns:vt="http://schemas.openxmlformats.org/officeDocument/2006/docPropsVTypes"/>
</file>