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Calibri" w:hAnsi="Calibri"/>
          <w:b/>
          <w:sz w:val="28"/>
        </w:rPr>
        <w:t>Lab 3: Architecture Selection &amp; Justification</w:t>
      </w:r>
    </w:p>
    <w:p>
      <w:pPr>
        <w:pStyle w:val="Normal"/>
        <w:jc w:val="center"/>
        <w:rPr/>
      </w:pPr>
      <w:r>
        <w:rPr>
          <w:rFonts w:ascii="Calibri" w:hAnsi="Calibri"/>
          <w:sz w:val="20"/>
        </w:rPr>
        <w:t>Name: Atharva Mihir Gore | SRN: PES1UG24AM346 | Section: AIML F</w:t>
      </w:r>
    </w:p>
    <w:p>
      <w:pPr>
        <w:pStyle w:val="Normal"/>
        <w:rPr/>
      </w:pPr>
      <w:r>
        <w:rPr>
          <w:rFonts w:ascii="Calibri" w:hAnsi="Calibri"/>
          <w:b/>
          <w:sz w:val="22"/>
        </w:rPr>
        <w:t xml:space="preserve">Scenario: </w:t>
      </w:r>
      <w:r>
        <w:rPr>
          <w:rFonts w:ascii="Calibri" w:hAnsi="Calibri"/>
          <w:sz w:val="22"/>
        </w:rPr>
        <w:t>Remote Developer Time Tracking &amp; Approval System , a platform for remote developers to log work hours against Jira issues, with manager review/approval workflows, real-time project budget tracking, and immutable audit trails.</w:t>
      </w:r>
    </w:p>
    <w:p>
      <w:pPr>
        <w:pStyle w:val="Normal"/>
        <w:rPr/>
      </w:pPr>
      <w:r>
        <w:rPr>
          <w:rFonts w:ascii="Calibri" w:hAnsi="Calibri"/>
          <w:b/>
          <w:color w:val="003366"/>
          <w:sz w:val="24"/>
        </w:rPr>
        <w:t>Architecture Selection</w:t>
      </w:r>
    </w:p>
    <w:p>
      <w:pPr>
        <w:pStyle w:val="Normal"/>
        <w:rPr/>
      </w:pPr>
      <w:r>
        <w:rPr>
          <w:rFonts w:ascii="Calibri" w:hAnsi="Calibri"/>
          <w:sz w:val="22"/>
        </w:rPr>
        <w:t xml:space="preserve">We chose </w:t>
      </w:r>
      <w:r>
        <w:rPr>
          <w:rFonts w:ascii="Calibri" w:hAnsi="Calibri"/>
          <w:b/>
          <w:sz w:val="22"/>
        </w:rPr>
        <w:t>Microservices Architecture</w:t>
      </w:r>
      <w:r>
        <w:rPr>
          <w:rFonts w:ascii="Calibri" w:hAnsi="Calibri"/>
          <w:sz w:val="22"/>
        </w:rPr>
        <w:t xml:space="preserve"> for the Remote Developer Time Tracking &amp; Approval System.</w:t>
      </w:r>
    </w:p>
    <w:p>
      <w:pPr>
        <w:pStyle w:val="Normal"/>
        <w:rPr/>
      </w:pPr>
      <w:r>
        <w:rPr>
          <w:rFonts w:ascii="Calibri" w:hAnsi="Calibri"/>
          <w:b/>
          <w:color w:val="003366"/>
          <w:sz w:val="22"/>
        </w:rPr>
        <w:t>Reason 1 — Independent Scalability of Critical Services</w:t>
      </w:r>
    </w:p>
    <w:p>
      <w:pPr>
        <w:pStyle w:val="Normal"/>
        <w:rPr/>
      </w:pPr>
      <w:r>
        <w:rPr>
          <w:rFonts w:ascii="Calibri" w:hAnsi="Calibri"/>
          <w:sz w:val="21"/>
        </w:rPr>
        <w:t>The system has components with vastly different load profiles: the Jira Sync Service must handle bursty API traffic with rate-limited retries (FR-1, NFR-2), while the Timesheet Approval Dashboard must serve concurrent manager sessions with sub-500 ms response times (NFR-1). In a microservices architecture, these can be deployed and scaled independently , the sync worker can run as an asynchronous job queue with its own retry pool, while the approval dashboard scales horizontally to meet the 1,000-concurrent-user benchmark without one service's resource demands starving the other.</w:t>
      </w:r>
    </w:p>
    <w:p>
      <w:pPr>
        <w:pStyle w:val="Normal"/>
        <w:rPr/>
      </w:pPr>
      <w:r>
        <w:rPr>
          <w:rFonts w:ascii="Calibri" w:hAnsi="Calibri"/>
          <w:b/>
          <w:color w:val="003366"/>
          <w:sz w:val="22"/>
        </w:rPr>
        <w:t>Reason 2 — Fault Isolation for External Integrations</w:t>
      </w:r>
    </w:p>
    <w:p>
      <w:pPr>
        <w:pStyle w:val="Normal"/>
        <w:rPr/>
      </w:pPr>
      <w:r>
        <w:rPr>
          <w:rFonts w:ascii="Calibri" w:hAnsi="Calibri"/>
          <w:sz w:val="21"/>
        </w:rPr>
        <w:t>The platform depends on external systems the Jira REST API for issue synchronization and the Notification Engine for email/Slack alerts on budget breaches and timesheet rejections. If Jira experiences downtime or returns HTTP 429 rate-limit errors, a monolithic system would risk cascading failures across the entire application. In microservices, the Jira Integration Service fails or retries in isolation (using exponential backoff per NFR-2), while the core timesheet submission, approval, and audit services remain fully operational.</w:t>
      </w:r>
    </w:p>
    <w:p>
      <w:pPr>
        <w:pStyle w:val="Normal"/>
        <w:rPr/>
      </w:pPr>
      <w:r>
        <w:rPr>
          <w:rFonts w:ascii="Calibri" w:hAnsi="Calibri"/>
          <w:b/>
          <w:color w:val="003366"/>
          <w:sz w:val="22"/>
        </w:rPr>
        <w:t>Security Advantage</w:t>
      </w:r>
    </w:p>
    <w:p>
      <w:pPr>
        <w:pStyle w:val="Normal"/>
        <w:rPr/>
      </w:pPr>
      <w:r>
        <w:rPr>
          <w:rFonts w:ascii="Calibri" w:hAnsi="Calibri"/>
          <w:sz w:val="21"/>
        </w:rPr>
        <w:t>Microservices enable fine-grained access control at the service boundary. The Audit Trail Service can be deployed with write-only, append-only permissions and a separate data store, ensuring that even if another service is compromised, historical audit records (FR-5) remain tamper-proof and immutable. Each service enforces its own authentication and authorization scope. for example, only Engineering Manager tokens can invoke the approval endpoint, while developer tokens are restricted to timesheet submission.</w:t>
      </w:r>
    </w:p>
    <w:p>
      <w:pPr>
        <w:pStyle w:val="Normal"/>
        <w:rPr/>
      </w:pPr>
      <w:r>
        <w:rPr>
          <w:rFonts w:ascii="Calibri" w:hAnsi="Calibri"/>
          <w:b/>
          <w:color w:val="003366"/>
          <w:sz w:val="22"/>
        </w:rPr>
        <w:t>Performance Benefit</w:t>
      </w:r>
    </w:p>
    <w:p>
      <w:pPr>
        <w:pStyle w:val="Normal"/>
        <w:widowControl/>
        <w:bidi w:val="0"/>
        <w:spacing w:lineRule="auto" w:line="276" w:before="0" w:after="200"/>
        <w:jc w:val="left"/>
        <w:rPr/>
      </w:pPr>
      <w:r>
        <w:rPr>
          <w:rFonts w:ascii="Calibri" w:hAnsi="Calibri"/>
          <w:sz w:val="21"/>
        </w:rPr>
        <w:t>Each microservice maintains its own optimized data store and caching layer. The Budget Calculation Service can use an in-memory cache for billable-rate lookups and pre-computed burn totals, ensuring real-time dashboard refreshes stay within the 500 ms SLA (NFR-1). The Jira Sync Service uses an asynchronous message queue, so bulk worklog synchronization runs in the background without blocking the request–response cycle of user-facing services. This separation prevents long-running sync operations from degrading the responsiveness of the approval dashboard.</w:t>
      </w:r>
    </w:p>
    <w:sectPr>
      <w:type w:val="nextPage"/>
      <w:pgSz w:w="12240" w:h="15840"/>
      <w:pgMar w:left="1152" w:right="1152" w:gutter="0" w:header="0" w:top="1008" w:footer="0"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2</Pages>
  <Words>390</Words>
  <Characters>2422</Characters>
  <CharactersWithSpaces>2800</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2026-09-12T17:45:49Z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