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Requirements Table</w:t>
      </w:r>
    </w:p>
    <w:p>
      <w:pPr>
        <w:pStyle w:val="Normal"/>
        <w:jc w:val="lef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</w:t>
      </w:r>
      <w:r>
        <w:rPr>
          <w:b/>
          <w:bCs/>
          <w:sz w:val="20"/>
          <w:szCs w:val="20"/>
        </w:rPr>
        <w:t xml:space="preserve"> : BASAWARAJ PANCHAL                                                                                                          </w:t>
      </w:r>
      <w:r>
        <w:rPr>
          <w:b w:val="false"/>
          <w:bCs w:val="false"/>
          <w:sz w:val="20"/>
          <w:szCs w:val="20"/>
        </w:rPr>
        <w:t xml:space="preserve">SRN : </w:t>
      </w:r>
      <w:r>
        <w:rPr>
          <w:b/>
          <w:bCs/>
          <w:sz w:val="20"/>
          <w:szCs w:val="20"/>
        </w:rPr>
        <w:t>PES1UG24AM350</w:t>
      </w:r>
    </w:p>
    <w:p>
      <w:pPr>
        <w:pStyle w:val="Normal"/>
        <w:jc w:val="center"/>
        <w:rPr/>
      </w:pPr>
      <w:r>
        <w:rPr>
          <w:b/>
          <w:sz w:val="24"/>
        </w:rPr>
        <w:t>Centralized Audit Trail Compliance Engine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24"/>
        <w:gridCol w:w="1823"/>
        <w:gridCol w:w="1825"/>
        <w:gridCol w:w="1824"/>
        <w:gridCol w:w="1823"/>
        <w:gridCol w:w="1824"/>
      </w:tblGrid>
      <w:tr>
        <w:trPr>
          <w:tblHeader w:val="true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Req ID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Type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FR-001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parse structured JSON audit logs, identify sensitive PII fields such as Social Security Numbers and credit card numbers, and mask them before storing the records.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Stored audit record contains masked PII and no cleartext SSN or credit card number. Fail: Any sensitive PII remains in cleartext.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Protects sensitive information and supports GDPR compliance.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FR-002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ingest enterprise application event logs and create audit records in the centralized audit trail.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A valid submitted JSON event log is processed and its corresponding audit record is available in the audit trail. Fail: The event is rejected or missing without an error being recorded.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Centralizes application events for compliance monitoring and auditing.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FR-003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allow a Compliance Officer to query historical audit records using filtering criteria.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A valid query returns all matching audit records and applies the selected filters. Fail: Matching records are omitted or unrelated records are returned.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Enables efficient investigation and compliance review.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FR-004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allow a Security Auditor to generate an immutable audit export containing selected audit records and a cryptographic integrity hash.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The exported audit file contains the selected records and a valid SHA-256 integrity hash. Fail: The export is missing records or has no valid integrity hash.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Provides verifiable evidence for security and compliance audits.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FR-005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verify the integrity of an audit export by recalculating its cryptographic hash and reporting whether the export has been modified.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An unchanged export is reported as valid and a modified export is reported as invalid. Fail: The system gives the same result for both cases.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Helps auditors detect tampering with audit evidence.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NFR-001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Nonfunctional — Performance &amp; Security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support complex filtering across 10 million historical audit records in under 1 second.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Benchmarking confirms the query completes in less than 1 second under the specified dataset and simulated peak load. Fail: The query takes 1 second or longer.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This is the performance/security target specified in the problem statement.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NFR-002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Nonfunctional — Security</w:t>
            </w:r>
          </w:p>
        </w:tc>
        <w:tc>
          <w:tcPr>
            <w:tcW w:w="18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The system shall ensure that sensitive PII is never persisted in cleartext in the audit storage.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Pass: Security testing of stored audit records finds no unmasked SSNs or credit card numbers. Fail: Any sensitive PII is found in cleartext.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5"/>
                <w:szCs w:val="22"/>
                <w:lang w:val="en-US" w:eastAsia="en-US" w:bidi="ar-SA"/>
              </w:rPr>
              <w:t>Prevents exposure of sensitive personal and payment information.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250825</wp:posOffset>
            </wp:positionH>
            <wp:positionV relativeFrom="paragraph">
              <wp:posOffset>-36830</wp:posOffset>
            </wp:positionV>
            <wp:extent cx="6448425" cy="4324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sz w:val="16"/>
        </w:rPr>
      </w:pPr>
      <w:r>
        <w:rPr>
          <w:sz w:val="16"/>
        </w:rPr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/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>
          <w:rFonts w:ascii="Liberation Serif" w:hAnsi="Liberation Serif"/>
          <w:b/>
          <w:i w:val="false"/>
          <w:iCs w:val="false"/>
          <w:sz w:val="32"/>
        </w:rPr>
        <w:t>Use-Case Flow</w:t>
      </w:r>
    </w:p>
    <w:p>
      <w:pPr>
        <w:pStyle w:val="BodyText"/>
        <w:widowControl/>
        <w:bidi w:val="0"/>
        <w:spacing w:lineRule="auto" w:line="276" w:before="0" w:after="200"/>
        <w:jc w:val="center"/>
        <w:rPr>
          <w:rFonts w:ascii="Liberation Serif" w:hAnsi="Liberation Serif"/>
          <w:b/>
          <w:i w:val="false"/>
          <w:i w:val="false"/>
          <w:iCs w:val="false"/>
          <w:sz w:val="32"/>
        </w:rPr>
      </w:pPr>
      <w:r>
        <w:rPr>
          <w:rFonts w:ascii="Liberation Serif" w:hAnsi="Liberation Serif"/>
          <w:b/>
          <w:i w:val="false"/>
          <w:iCs w:val="false"/>
          <w:sz w:val="32"/>
        </w:rPr>
        <w:t xml:space="preserve"> </w:t>
      </w:r>
    </w:p>
    <w:p>
      <w:pPr>
        <w:pStyle w:val="BodyText"/>
        <w:spacing w:before="100" w:after="40"/>
        <w:ind w:hanging="0" w:left="0" w:right="0"/>
        <w:rPr>
          <w:b/>
          <w:sz w:val="22"/>
        </w:rPr>
      </w:pPr>
      <w:r>
        <w:rPr>
          <w:b/>
          <w:sz w:val="22"/>
        </w:rPr>
        <w:t>Preconditions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The Security Auditor is authorized to access the audit system.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Required audit records have already been ingested and stored.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The audit records have had sensitive PII masked.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</w:r>
    </w:p>
    <w:p>
      <w:pPr>
        <w:pStyle w:val="BodyText"/>
        <w:spacing w:before="100" w:after="40"/>
        <w:ind w:hanging="0" w:left="0" w:right="0"/>
        <w:rPr>
          <w:b/>
          <w:sz w:val="22"/>
        </w:rPr>
      </w:pPr>
      <w:r>
        <w:rPr>
          <w:b/>
          <w:sz w:val="22"/>
        </w:rPr>
        <w:t>Postconditions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The requested audit records are exported.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The export contains a cryptographic integrity hash.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The generated export can be verified for integrity.</w:t>
      </w:r>
    </w:p>
    <w:p>
      <w:pPr>
        <w:pStyle w:val="BodyText"/>
        <w:spacing w:before="100" w:after="40"/>
        <w:ind w:hanging="0" w:left="0" w:right="0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100" w:after="40"/>
        <w:ind w:hanging="0" w:left="0" w:right="0"/>
        <w:rPr>
          <w:b/>
          <w:sz w:val="22"/>
        </w:rPr>
      </w:pPr>
      <w:r>
        <w:rPr>
          <w:b/>
          <w:sz w:val="22"/>
        </w:rPr>
        <w:t>Main Success Scenario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1. Security Auditor selects “Generate Audit Export”.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2. System displays available audit records and filtering options.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3. Security Auditor specifies the records or criteria to include.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4. System retrieves the matching audit records.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5. System confirms that sensitive PII is masked.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6. System generates the audit export.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7. System calculates a SHA-256 integrity hash for the export.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8. System attaches the integrity hash to the audit export.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9. System makes the immutable audit export available to the Security Auditor.</w:t>
      </w:r>
    </w:p>
    <w:p>
      <w:pPr>
        <w:pStyle w:val="BodyText"/>
        <w:spacing w:before="0" w:after="60"/>
        <w:ind w:hanging="0" w:left="0" w:right="0"/>
        <w:rPr>
          <w:sz w:val="19"/>
        </w:rPr>
      </w:pPr>
      <w:r>
        <w:rPr>
          <w:sz w:val="19"/>
        </w:rPr>
        <w:t>10. Use case ends successfully.</w:t>
      </w:r>
    </w:p>
    <w:p>
      <w:pPr>
        <w:pStyle w:val="BodyText"/>
        <w:spacing w:before="100" w:after="40"/>
        <w:ind w:hanging="0" w:left="0" w:right="0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spacing w:before="100" w:after="40"/>
        <w:ind w:hanging="0" w:left="0" w:right="0"/>
        <w:rPr>
          <w:b/>
          <w:sz w:val="22"/>
        </w:rPr>
      </w:pPr>
      <w:r>
        <w:rPr>
          <w:b/>
          <w:sz w:val="22"/>
        </w:rPr>
        <w:t>Alternate Flow — No Matching Records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4a1. System finds no audit records matching the specified criteria.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4a2. System displays a message indicating that no matching records were found.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4a3. Security Auditor modifies the filtering criteria.</w:t>
      </w:r>
    </w:p>
    <w:p>
      <w:pPr>
        <w:pStyle w:val="BodyText"/>
        <w:spacing w:before="0" w:after="60"/>
        <w:ind w:hanging="0" w:left="0" w:right="0"/>
        <w:rPr/>
      </w:pPr>
      <w:r>
        <w:rPr/>
        <w:t xml:space="preserve">• </w:t>
      </w:r>
      <w:r>
        <w:rPr>
          <w:sz w:val="19"/>
        </w:rPr>
        <w:t>4a4. System returns to Step 3 of the Main Success Scenario.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i/>
          <w:i/>
          <w:sz w:val="16"/>
        </w:rPr>
      </w:pPr>
      <w:r>
        <w:rPr>
          <w:i/>
          <w:sz w:val="16"/>
        </w:rPr>
      </w:r>
    </w:p>
    <w:sectPr>
      <w:type w:val="nextPage"/>
      <w:pgSz w:w="12240" w:h="15840"/>
      <w:pgMar w:left="648" w:right="648" w:gutter="0" w:header="0" w:top="792" w:footer="0" w:bottom="79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</Pages>
  <Words>613</Words>
  <Characters>3466</Characters>
  <CharactersWithSpaces>4112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2026-08-21T10:06:04Z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