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3658DE">
      <w:pPr>
        <w:pStyle w:val="139"/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SE Lab 3: Architectural Style </w:t>
      </w:r>
      <w:r>
        <w:rPr>
          <w:color w:val="000000" w:themeColor="text1"/>
          <w:spacing w:val="-2"/>
          <w:sz w:val="20"/>
          <w:szCs w:val="20"/>
        </w:rPr>
        <w:t xml:space="preserve">Justification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2F55BBCF">
      <w:pPr>
        <w:pStyle w:val="1_1"/>
        <w:pBdr/>
        <w:spacing w:before="129"/>
        <w:ind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Hostel Maintenance &amp; Issue Ticketing System: Problem</w:t>
      </w:r>
      <w:r>
        <w:rPr>
          <w:color w:val="000000" w:themeColor="text1"/>
          <w:spacing w:val="-5"/>
          <w:sz w:val="20"/>
          <w:szCs w:val="20"/>
        </w:rPr>
        <w:t xml:space="preserve"> 7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17C9A833">
      <w:pPr>
        <w:pStyle w:val="1_1"/>
        <w:pBdr/>
        <w:spacing w:before="9"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138256</wp:posOffset>
                </wp:positionV>
                <wp:extent cx="5967730" cy="1270"/>
                <wp:effectExtent l="0" t="0" r="0" b="0"/>
                <wp:wrapTopAndBottom/>
                <wp:docPr id="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67408514" name="Graphic 3"/>
                      <wps:cNvSpPr/>
                      <wps:spPr bwMode="auto">
                        <a:xfrm>
                          <a:off x="0" y="0"/>
                          <a:ext cx="5967729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 fill="norm" stroke="1" extrusionOk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A5B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62.69pt;mso-position-horizontal:absolute;mso-position-vertical-relative:text;margin-top:10.89pt;mso-position-vertical:absolute;width:469.90pt;height:0.10pt;mso-wrap-distance-left:0.00pt;mso-wrap-distance-top:0.00pt;mso-wrap-distance-right:0.00pt;mso-wrap-distance-bottom:0.00pt;visibility:visible;" path="m0,0l99998,0e" coordsize="100000,100000" filled="f" strokecolor="#1A3A5B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29111C76">
      <w:pPr>
        <w:pStyle w:val="1_1"/>
        <w:pBdr/>
        <w:spacing w:before="119"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51D2DB37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  <w:t xml:space="preserve">ROHINI VISHU</w:t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671B3C3F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  <w:t xml:space="preserve">PES1UG24AM922</w:t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0F284173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  <w:t xml:space="preserve">5H</w:t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01222ED2">
      <w:pPr>
        <w:pStyle w:val="140"/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63D01EDB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1764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000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123938" cy="3176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2.20pt;height:250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21B105C5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7119264F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43323F27">
      <w:pPr>
        <w:pStyle w:val="140"/>
        <w:pBdr/>
        <w:spacing/>
        <w:ind/>
        <w:rPr>
          <w:color w:val="000000" w:themeColor="text1"/>
          <w:spacing w:val="-2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</w:rPr>
        <w:t xml:space="preserve">Architecture </w:t>
      </w:r>
      <w:r>
        <w:rPr>
          <w:color w:val="000000" w:themeColor="text1"/>
          <w:spacing w:val="-2"/>
          <w:sz w:val="20"/>
          <w:szCs w:val="20"/>
        </w:rPr>
        <w:t xml:space="preserve">Selection</w:t>
      </w:r>
      <w:r>
        <w:rPr>
          <w:color w:val="000000" w:themeColor="text1"/>
          <w:spacing w:val="-2"/>
          <w:sz w:val="20"/>
          <w:szCs w:val="20"/>
          <w:highlight w:val="none"/>
        </w:rPr>
      </w:r>
      <w:r>
        <w:rPr>
          <w:color w:val="000000" w:themeColor="text1"/>
          <w:spacing w:val="-2"/>
          <w:sz w:val="20"/>
          <w:szCs w:val="20"/>
          <w:highlight w:val="none"/>
        </w:rPr>
      </w:r>
    </w:p>
    <w:p w14:paraId="55D0F5CF">
      <w:pPr>
        <w:pBdr/>
        <w:spacing w:before="174"/>
        <w:ind w:right="0" w:firstLine="0" w:left="120"/>
        <w:jc w:val="left"/>
        <w:rPr>
          <w:rFonts w:ascii="Arial"/>
          <w:b/>
          <w:color w:val="000000" w:themeColor="text1"/>
          <w:sz w:val="20"/>
          <w:szCs w:val="20"/>
        </w:rPr>
      </w:pPr>
      <w:r>
        <w:rPr>
          <w:rFonts w:ascii="Arial"/>
          <w:b/>
          <w:color w:val="000000" w:themeColor="text1"/>
          <w:sz w:val="20"/>
          <w:szCs w:val="20"/>
        </w:rPr>
        <w:t xml:space="preserve">We chose Microservices Architecture for the Hostel Maintenance &amp; Issue Ticketing </w:t>
      </w:r>
      <w:r>
        <w:rPr>
          <w:rFonts w:ascii="Arial"/>
          <w:b/>
          <w:color w:val="000000" w:themeColor="text1"/>
          <w:spacing w:val="-2"/>
          <w:sz w:val="20"/>
          <w:szCs w:val="20"/>
        </w:rPr>
        <w:t xml:space="preserve">System.</w:t>
      </w:r>
      <w:r>
        <w:rPr>
          <w:rFonts w:ascii="Arial"/>
          <w:b/>
          <w:color w:val="000000" w:themeColor="text1"/>
          <w:sz w:val="20"/>
          <w:szCs w:val="20"/>
        </w:rPr>
      </w:r>
      <w:r>
        <w:rPr>
          <w:rFonts w:ascii="Arial"/>
          <w:b/>
          <w:color w:val="000000" w:themeColor="text1"/>
          <w:sz w:val="20"/>
          <w:szCs w:val="20"/>
        </w:rPr>
      </w:r>
    </w:p>
    <w:p w14:paraId="2110F56F">
      <w:pPr>
        <w:pStyle w:val="1_1"/>
        <w:pBdr/>
        <w:spacing w:before="22"/>
        <w:ind/>
        <w:rPr>
          <w:rFonts w:ascii="Arial"/>
          <w:b/>
          <w:color w:val="000000" w:themeColor="text1"/>
          <w:sz w:val="20"/>
          <w:szCs w:val="20"/>
        </w:rPr>
      </w:pPr>
      <w:r>
        <w:rPr>
          <w:rFonts w:ascii="Arial"/>
          <w:b/>
          <w:color w:val="000000" w:themeColor="text1"/>
          <w:sz w:val="20"/>
          <w:szCs w:val="20"/>
        </w:rPr>
      </w:r>
      <w:r>
        <w:rPr>
          <w:rFonts w:ascii="Arial"/>
          <w:b/>
          <w:color w:val="000000" w:themeColor="text1"/>
          <w:sz w:val="20"/>
          <w:szCs w:val="20"/>
        </w:rPr>
      </w:r>
      <w:r>
        <w:rPr>
          <w:rFonts w:ascii="Arial"/>
          <w:b/>
          <w:color w:val="000000" w:themeColor="text1"/>
          <w:sz w:val="20"/>
          <w:szCs w:val="20"/>
        </w:rPr>
      </w:r>
    </w:p>
    <w:p w14:paraId="7B93971E">
      <w:pPr>
        <w:pStyle w:val="140"/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Reason 1: Independent scaling around bursty, uneven </w:t>
      </w:r>
      <w:r>
        <w:rPr>
          <w:color w:val="000000" w:themeColor="text1"/>
          <w:spacing w:val="-4"/>
          <w:sz w:val="20"/>
          <w:szCs w:val="20"/>
        </w:rPr>
        <w:t xml:space="preserve">load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768E6F58">
      <w:pPr>
        <w:pStyle w:val="1_1"/>
        <w:pBdr/>
        <w:spacing w:before="174" w:line="292" w:lineRule="auto"/>
        <w:ind w:right="116" w:left="120"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</w:rPr>
        <w:t xml:space="preserve">Ticket creation and status checks happen steadily throughout the day, but SLA-breach escalations and SMS/Email notifications spike sharply after storms, power cuts, or plumbing failures that affect an entire block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at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once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—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exactly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the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kind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of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bursty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external-I/O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load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described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in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the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scenario's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SLA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and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escala</w:t>
      </w:r>
      <w:r>
        <w:rPr>
          <w:color w:val="000000" w:themeColor="text1"/>
          <w:sz w:val="20"/>
          <w:szCs w:val="20"/>
        </w:rPr>
        <w:t xml:space="preserve">tion requirement (NFR-001). A microservices split lets the Notification Service and SLA Monitor Service scale out independently during these spikes without over-provisioning the Ticket Manager or Media Storage Service, which see comparatively flat traffic.</w:t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6A3803CE">
      <w:pPr>
        <w:pStyle w:val="1_1"/>
        <w:pBdr/>
        <w:spacing w:before="174" w:line="292" w:lineRule="auto"/>
        <w:ind w:right="116" w:left="120"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  <w:t xml:space="preserve">Reason 2: Fault isolation for a non-critical but high-blast-radius </w:t>
      </w:r>
      <w:r>
        <w:rPr>
          <w:color w:val="000000" w:themeColor="text1"/>
          <w:spacing w:val="-2"/>
          <w:sz w:val="20"/>
          <w:szCs w:val="20"/>
        </w:rPr>
        <w:t xml:space="preserve">dependency</w:t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14B78A10">
      <w:pPr>
        <w:pStyle w:val="1_1"/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The Notification Service depends on third-party SMS/Email gateways that are outside the university's control and can time out or fail. In a microservices layout this dependency is isolated to one component: if the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SMS/Email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gateway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is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down,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residents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can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still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log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tickets,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wardens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can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still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assign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staff,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and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staff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can still update ticket status — only the escalation alert is delayed. A tightly-coupled layered or single-server design would risk a slow external gateway call blocking the core ticket-logging path itself.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6C31FD25">
      <w:pPr>
        <w:pStyle w:val="140"/>
        <w:pBdr/>
        <w:spacing w:before="199"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Security </w:t>
      </w:r>
      <w:r>
        <w:rPr>
          <w:color w:val="000000" w:themeColor="text1"/>
          <w:spacing w:val="-2"/>
          <w:sz w:val="20"/>
          <w:szCs w:val="20"/>
        </w:rPr>
        <w:t xml:space="preserve">Advantage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1DAC8CCA">
      <w:pPr>
        <w:pStyle w:val="1_1"/>
        <w:pBdr/>
        <w:spacing w:line="292" w:lineRule="auto"/>
        <w:ind w:right="116" w:left="1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Splitting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system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into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services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lets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each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one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enforce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least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privilege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it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actually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needs,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which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directly supports NFR-002 (role-based access and encrypted geo-tag data). The Media Storage Service, which holds photos of residents' private rooms, can be given its own access-controlled object store and encryption keys, separate from the Tick</w:t>
      </w:r>
      <w:r>
        <w:rPr>
          <w:color w:val="000000" w:themeColor="text1"/>
          <w:sz w:val="20"/>
          <w:szCs w:val="20"/>
        </w:rPr>
        <w:t xml:space="preserve">et Database credentials used by the Ticket Manager. A compromise of one service (e.g., the public-facing Notification Service) does not automatically expose ticket records or room photos, since each service only holds the credentials for its own interface.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79EC9510">
      <w:pPr>
        <w:pStyle w:val="140"/>
        <w:pBdr/>
        <w:spacing w:before="199"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Performance </w:t>
      </w:r>
      <w:r>
        <w:rPr>
          <w:color w:val="000000" w:themeColor="text1"/>
          <w:spacing w:val="-2"/>
          <w:sz w:val="20"/>
          <w:szCs w:val="20"/>
        </w:rPr>
        <w:t xml:space="preserve">Benefit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00AD1BC9">
      <w:pPr>
        <w:pStyle w:val="1_1"/>
        <w:pBdr/>
        <w:spacing w:line="292" w:lineRule="auto"/>
        <w:ind w:right="116" w:left="1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Because the SLA Monitor Service runs as an independent component consuming a ticket-status event feed (ITicketFeed) rather than polling the shared Ticket Database directly, continuous 24-hour SLA timer checks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do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not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add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read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load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to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same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database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instance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that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serves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resident-facing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ticket</w:t>
      </w:r>
      <w:r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submissions and warden dashboards. This keeps FR-004's real-time status view (updates reflected within 5 seconds) responsive even while thousands of SLA timers are being evaluated in the background.</w:t>
      </w: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" w:customStyle="1">
    <w:name w:val="Body Text"/>
    <w:basedOn w:val="714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173" w:beforeAutospacing="0" w:line="240" w:lineRule="auto"/>
      <w:ind w:right="0" w:firstLine="0" w:left="0"/>
      <w:contextualSpacing w:val="false"/>
      <w:jc w:val="left"/>
    </w:pPr>
    <w:rPr>
      <w:rFonts w:ascii="Arial MT" w:hAnsi="Arial MT" w:eastAsia="Arial MT" w:cs="Arial MT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2026-09-11T06:26:02Z</dcterms:modified>
</cp:coreProperties>
</file>