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Informe Pericial</w:t>
      </w:r>
    </w:p>
    <w:p>
      <w:pPr>
        <w:pStyle w:val="Heading2"/>
      </w:pPr>
      <w:r>
        <w:t xml:space="preserve">Caso: case_2026_demo_001</w:t>
      </w:r>
    </w:p>
    <w:p>
      <w:pPr>
        <w:spacing w:after="300"/>
      </w:pPr>
      <w:r>
        <w:rPr>
          <w:i/>
          <w:iCs/>
          <w:color w:val="666666"/>
        </w:rPr>
        <w:t xml:space="preserve">Generado con MODEXRE — fuente: suricata_eve</w:t>
      </w:r>
    </w:p>
    <w:p>
      <w:pPr>
        <w:pBdr>
          <w:bottom w:val="single" w:color="999999" w:sz="6"/>
        </w:pBdr>
        <w:spacing w:after="200"/>
      </w:pPr>
    </w:p>
    <w:p>
      <w:pPr>
        <w:pStyle w:val="Heading1"/>
      </w:pPr>
      <w:r>
        <w:t xml:space="preserve">Resumen Ejecutivo</w:t>
      </w:r>
    </w:p>
    <w:p>
      <w:pPr>
        <w:spacing w:after="200"/>
      </w:pPr>
      <w:r>
        <w:t xml:space="preserve">Se ha analizado el tráfico de red correspondiente a la fuente "suricata_eve" (fichero: "/tmp/modexre_demo_case/eve.json"), aplicando un sistema automatizado de detección de intrusiones basado en inteligencia artificial (XGBoost), cuyas decisiones han sido interpretadas mediante técnicas de IA explicable (SHAP).</w:t>
      </w:r>
    </w:p>
    <w:p>
      <w:pPr>
        <w:spacing w:after="200"/>
      </w:pPr>
      <w:r>
        <w:t xml:space="preserve">Del total de 2 eventos analizados, </w:t>
      </w:r>
      <w:r>
        <w:rPr>
          <w:b/>
          <w:bCs/>
        </w:rPr>
        <w:t xml:space="preserve">1</w:t>
      </w:r>
      <w:r>
        <w:t xml:space="preserve"> se han clasificado como actividad potencialmente maliciosa y </w:t>
      </w:r>
      <w:r>
        <w:rPr>
          <w:b/>
          <w:bCs/>
        </w:rPr>
        <w:t xml:space="preserve">1</w:t>
      </w:r>
      <w:r>
        <w:t xml:space="preserve"> como tráfico normal.</w:t>
      </w:r>
    </w:p>
    <w:p>
      <w:pPr>
        <w:spacing w:after="300"/>
      </w:pPr>
      <w:r>
        <w:rPr>
          <w:b w:val="false"/>
          <w:bCs w:val="false"/>
          <w:color w:val="1a7a1a"/>
        </w:rPr>
        <w:t xml:space="preserve">La cadena de custodia del caso ha sido verificada matemáticamente y no presenta indicios de alteración.</w:t>
      </w:r>
    </w:p>
    <w:p>
      <w:pPr>
        <w:pStyle w:val="Heading1"/>
      </w:pPr>
      <w:r>
        <w:t xml:space="preserve">Anexo Técnico</w:t>
      </w:r>
    </w:p>
    <w:p>
      <w:pPr>
        <w:pStyle w:val="Heading2"/>
      </w:pPr>
      <w:r>
        <w:t xml:space="preserve">Metodología</w:t>
      </w:r>
    </w:p>
    <w:p>
      <w:pPr>
        <w:spacing w:after="80"/>
      </w:pPr>
      <w:r>
        <w:rPr>
          <w:b/>
          <w:bCs/>
        </w:rPr>
        <w:t xml:space="preserve">Fuente de datos: </w:t>
      </w:r>
      <w:r>
        <w:t xml:space="preserve">suricata_eve</w:t>
      </w:r>
    </w:p>
    <w:p>
      <w:pPr>
        <w:spacing w:after="80"/>
      </w:pPr>
      <w:r>
        <w:rPr>
          <w:b/>
          <w:bCs/>
        </w:rPr>
        <w:t xml:space="preserve">Normalización: </w:t>
      </w:r>
      <w:r>
        <w:t xml:space="preserve">OCSF (Open Cybersecurity Schema Framework), clase Detection Finding (class_uid=2004)</w:t>
      </w:r>
    </w:p>
    <w:p>
      <w:pPr>
        <w:spacing w:after="80"/>
      </w:pPr>
      <w:r>
        <w:rPr>
          <w:b/>
          <w:bCs/>
        </w:rPr>
        <w:t xml:space="preserve">Modelo: </w:t>
      </w:r>
      <w:r>
        <w:t xml:space="preserve">XGBoost, entrenado y congelado en modo Laboratorio; usado exclusivamente en modo inferencia en este caso</w:t>
      </w:r>
    </w:p>
    <w:p>
      <w:pPr>
        <w:spacing w:after="80"/>
      </w:pPr>
      <w:r>
        <w:rPr>
          <w:b/>
          <w:bCs/>
        </w:rPr>
        <w:t xml:space="preserve">Explicabilidad: </w:t>
      </w:r>
      <w:r>
        <w:t xml:space="preserve">SHAP (TreeExplainer), explicación local por evento</w:t>
      </w:r>
    </w:p>
    <w:p>
      <w:pPr>
        <w:spacing w:after="100"/>
      </w:pPr>
    </w:p>
    <w:p>
      <w:pPr>
        <w:pStyle w:val="Heading2"/>
      </w:pPr>
      <w:r>
        <w:t xml:space="preserve">Resultados por evento</w:t>
      </w:r>
    </w:p>
    <w:p>
      <w:pPr>
        <w:pStyle w:val="Heading3"/>
      </w:pPr>
      <w:r>
        <w:t xml:space="preserve">Evento #1</w:t>
      </w:r>
    </w:p>
    <w:p>
      <w:pPr>
        <w:spacing w:after="80"/>
      </w:pPr>
      <w:r>
        <w:rPr>
          <w:b/>
          <w:bCs/>
        </w:rPr>
        <w:t xml:space="preserve">Clasificación del modelo: </w:t>
      </w:r>
      <w:r>
        <w:t xml:space="preserve">Actividad potencialmente maliciosa (probabilidad: 0.986, modelo: v1_demo)</w:t>
      </w:r>
    </w:p>
    <w:p>
      <w:pPr>
        <w:spacing w:after="80"/>
      </w:pPr>
      <w:r>
        <w:rPr>
          <w:b/>
          <w:bCs/>
        </w:rPr>
        <w:t xml:space="preserve">Alerta original del IDS: </w:t>
      </w:r>
      <w:r>
        <w:t xml:space="preserve">ET SCAN Potential SSH Scan (categoría: Attempted Information Leak)</w:t>
      </w:r>
    </w:p>
    <w:p>
      <w:pPr>
        <w:spacing w:after="80"/>
      </w:pPr>
      <w:r>
        <w:rPr>
          <w:b/>
          <w:bCs/>
        </w:rPr>
        <w:t xml:space="preserve">Origen → Destino: </w:t>
      </w:r>
      <w:r>
        <w:t xml:space="preserve">10.0.0.5:51234 → 203.0.113.7:22</w:t>
      </w:r>
    </w:p>
    <w:p>
      <w:pPr>
        <w:spacing w:after="60" w:before="100"/>
      </w:pPr>
      <w:r>
        <w:rPr>
          <w:b/>
          <w:bCs/>
        </w:rPr>
        <w:t xml:space="preserve">Variables más influyentes en la decisión (SHAP):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4000"/>
      </w:tblGrid>
      <w:tr>
        <w:tc>
          <w:tcPr>
            <w:tcW w:type="pct" w:w="60%"/>
            <w:shd w:fill="EEEEEE" w:val="clear"/>
          </w:tcPr>
          <w:p>
            <w:r>
              <w:rPr>
                <w:b/>
                <w:bCs/>
              </w:rPr>
              <w:t xml:space="preserve">Variable</w:t>
            </w:r>
          </w:p>
        </w:tc>
        <w:tc>
          <w:tcPr>
            <w:tcW w:type="pct" w:w="40%"/>
            <w:shd w:fill="EEEEEE" w:val="clear"/>
          </w:tcPr>
          <w:p>
            <w:r>
              <w:rPr>
                <w:b/>
                <w:bCs/>
              </w:rPr>
              <w:t xml:space="preserve">Valor SHAP</w:t>
            </w:r>
          </w:p>
        </w:tc>
      </w:tr>
      <w:tr>
        <w:tc>
          <w:tcPr>
            <w:tcW w:type="pct" w:w="60%"/>
          </w:tcPr>
          <w:p>
            <w:r>
              <w:t xml:space="preserve">packets_in</w:t>
            </w:r>
          </w:p>
        </w:tc>
        <w:tc>
          <w:tcPr>
            <w:tcW w:type="pct" w:w="40%"/>
          </w:tcPr>
          <w:p>
            <w:r>
              <w:t xml:space="preserve">+4.2495</w:t>
            </w:r>
          </w:p>
        </w:tc>
      </w:tr>
      <w:tr>
        <w:tc>
          <w:tcPr>
            <w:tcW w:type="pct" w:w="60%"/>
          </w:tcPr>
          <w:p>
            <w:r>
              <w:t xml:space="preserve">duration</w:t>
            </w:r>
          </w:p>
        </w:tc>
        <w:tc>
          <w:tcPr>
            <w:tcW w:type="pct" w:w="40%"/>
          </w:tcPr>
          <w:p>
            <w:r>
              <w:t xml:space="preserve">+0.0000</w:t>
            </w:r>
          </w:p>
        </w:tc>
      </w:tr>
      <w:tr>
        <w:tc>
          <w:tcPr>
            <w:tcW w:type="pct" w:w="60%"/>
          </w:tcPr>
          <w:p>
            <w:r>
              <w:t xml:space="preserve">packets_out</w:t>
            </w:r>
          </w:p>
        </w:tc>
        <w:tc>
          <w:tcPr>
            <w:tcW w:type="pct" w:w="40%"/>
          </w:tcPr>
          <w:p>
            <w:r>
              <w:t xml:space="preserve">+0.0000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Evento #2</w:t>
      </w:r>
    </w:p>
    <w:p>
      <w:pPr>
        <w:spacing w:after="80"/>
      </w:pPr>
      <w:r>
        <w:rPr>
          <w:b/>
          <w:bCs/>
        </w:rPr>
        <w:t xml:space="preserve">Clasificación del modelo: </w:t>
      </w:r>
      <w:r>
        <w:t xml:space="preserve">Tráfico normal (probabilidad: 0.986, modelo: v1_demo)</w:t>
      </w:r>
    </w:p>
    <w:p>
      <w:pPr>
        <w:spacing w:after="80"/>
      </w:pPr>
      <w:r>
        <w:rPr>
          <w:b/>
          <w:bCs/>
        </w:rPr>
        <w:t xml:space="preserve">Alerta original del IDS: </w:t>
      </w:r>
      <w:r>
        <w:t xml:space="preserve">ET INFO Standard HTTPS session (categoría: Not Suspicious Traffic)</w:t>
      </w:r>
    </w:p>
    <w:p>
      <w:pPr>
        <w:spacing w:after="80"/>
      </w:pPr>
      <w:r>
        <w:rPr>
          <w:b/>
          <w:bCs/>
        </w:rPr>
        <w:t xml:space="preserve">Origen → Destino: </w:t>
      </w:r>
      <w:r>
        <w:t xml:space="preserve">10.0.0.12:443 → 8.8.8.8:443</w:t>
      </w:r>
    </w:p>
    <w:p>
      <w:pPr>
        <w:spacing w:after="60" w:before="100"/>
      </w:pPr>
      <w:r>
        <w:rPr>
          <w:b/>
          <w:bCs/>
        </w:rPr>
        <w:t xml:space="preserve">Variables más influyentes en la decisión (SHAP):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4000"/>
      </w:tblGrid>
      <w:tr>
        <w:tc>
          <w:tcPr>
            <w:tcW w:type="pct" w:w="60%"/>
            <w:shd w:fill="EEEEEE" w:val="clear"/>
          </w:tcPr>
          <w:p>
            <w:r>
              <w:rPr>
                <w:b/>
                <w:bCs/>
              </w:rPr>
              <w:t xml:space="preserve">Variable</w:t>
            </w:r>
          </w:p>
        </w:tc>
        <w:tc>
          <w:tcPr>
            <w:tcW w:type="pct" w:w="40%"/>
            <w:shd w:fill="EEEEEE" w:val="clear"/>
          </w:tcPr>
          <w:p>
            <w:r>
              <w:rPr>
                <w:b/>
                <w:bCs/>
              </w:rPr>
              <w:t xml:space="preserve">Valor SHAP</w:t>
            </w:r>
          </w:p>
        </w:tc>
      </w:tr>
      <w:tr>
        <w:tc>
          <w:tcPr>
            <w:tcW w:type="pct" w:w="60%"/>
          </w:tcPr>
          <w:p>
            <w:r>
              <w:t xml:space="preserve">packets_in</w:t>
            </w:r>
          </w:p>
        </w:tc>
        <w:tc>
          <w:tcPr>
            <w:tcW w:type="pct" w:w="40%"/>
          </w:tcPr>
          <w:p>
            <w:r>
              <w:t xml:space="preserve">-4.2495</w:t>
            </w:r>
          </w:p>
        </w:tc>
      </w:tr>
      <w:tr>
        <w:tc>
          <w:tcPr>
            <w:tcW w:type="pct" w:w="60%"/>
          </w:tcPr>
          <w:p>
            <w:r>
              <w:t xml:space="preserve">duration</w:t>
            </w:r>
          </w:p>
        </w:tc>
        <w:tc>
          <w:tcPr>
            <w:tcW w:type="pct" w:w="40%"/>
          </w:tcPr>
          <w:p>
            <w:r>
              <w:t xml:space="preserve">+0.0000</w:t>
            </w:r>
          </w:p>
        </w:tc>
      </w:tr>
      <w:tr>
        <w:tc>
          <w:tcPr>
            <w:tcW w:type="pct" w:w="60%"/>
          </w:tcPr>
          <w:p>
            <w:r>
              <w:t xml:space="preserve">packets_out</w:t>
            </w:r>
          </w:p>
        </w:tc>
        <w:tc>
          <w:tcPr>
            <w:tcW w:type="pct" w:w="40%"/>
          </w:tcPr>
          <w:p>
            <w:r>
              <w:t xml:space="preserve">+0.0000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Cadena de Custodia</w:t>
      </w:r>
    </w:p>
    <w:p>
      <w:pPr>
        <w:spacing w:after="80"/>
      </w:pPr>
      <w:r>
        <w:rPr>
          <w:b/>
          <w:bCs/>
        </w:rPr>
        <w:t xml:space="preserve">Total de eslabones registrados: </w:t>
      </w:r>
      <w:r>
        <w:t xml:space="preserve">4</w:t>
      </w:r>
    </w:p>
    <w:p>
      <w:pPr>
        <w:spacing w:after="80"/>
      </w:pPr>
      <w:r>
        <w:rPr>
          <w:b/>
          <w:bCs/>
        </w:rPr>
        <w:t xml:space="preserve">Íntegra: </w:t>
      </w:r>
      <w:r>
        <w:t xml:space="preserve">Sí</w:t>
      </w:r>
    </w:p>
    <w:p>
      <w:pPr>
        <w:spacing w:after="100"/>
      </w:pPr>
    </w:p>
    <w:p>
      <w:pPr>
        <w:pStyle w:val="Heading3"/>
      </w:pPr>
      <w:r>
        <w:t xml:space="preserve">Detalle de eslabones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4500"/>
        <w:gridCol w:w="2500"/>
      </w:tblGrid>
      <w:tr>
        <w:tc>
          <w:tcPr>
            <w:shd w:fill="EEEEEE" w:val="clear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shd w:fill="EEEEEE" w:val="clear"/>
          </w:tcPr>
          <w:p>
            <w:r>
              <w:rPr>
                <w:b/>
                <w:bCs/>
              </w:rPr>
              <w:t xml:space="preserve">Operación</w:t>
            </w:r>
          </w:p>
        </w:tc>
        <w:tc>
          <w:tcPr>
            <w:shd w:fill="EEEEEE" w:val="clear"/>
          </w:tcPr>
          <w:p>
            <w:r>
              <w:rPr>
                <w:b/>
                <w:bCs/>
              </w:rPr>
              <w:t xml:space="preserve">Componente</w:t>
            </w:r>
          </w:p>
        </w:tc>
        <w:tc>
          <w:tcPr>
            <w:shd w:fill="EEEEEE" w:val="clear"/>
          </w:tcPr>
          <w:p>
            <w:r>
              <w:rPr>
                <w:b/>
                <w:bCs/>
              </w:rPr>
              <w:t xml:space="preserve">Hash del eslabón (16 primeros caracteres)</w:t>
            </w:r>
          </w:p>
        </w:tc>
      </w:tr>
      <w:tr>
        <w:tc>
          <w:p>
            <w:r>
              <w:t xml:space="preserve">0</w:t>
            </w:r>
          </w:p>
        </w:tc>
        <w:tc>
          <w:p>
            <w:r>
              <w:t xml:space="preserve">ingest</w:t>
            </w:r>
          </w:p>
        </w:tc>
        <w:tc>
          <w:p>
            <w:r>
              <w:t xml:space="preserve">ingestion.connectors.read_jsonl:v1</w:t>
            </w:r>
          </w:p>
        </w:tc>
        <w:tc>
          <w:p>
            <w:r>
              <w:t xml:space="preserve">ae11b4d98754cb0e...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ocsf_normalize</w:t>
            </w:r>
          </w:p>
        </w:tc>
        <w:tc>
          <w:p>
            <w:r>
              <w:t xml:space="preserve">ocsf.detection_finding.normalize_eve_events_to_ocsf:v1</w:t>
            </w:r>
          </w:p>
        </w:tc>
        <w:tc>
          <w:p>
            <w:r>
              <w:t xml:space="preserve">c4507b01ad048bde...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feature_extract</w:t>
            </w:r>
          </w:p>
        </w:tc>
        <w:tc>
          <w:p>
            <w:r>
              <w:t xml:space="preserve">features.feature_engineering.build_feature_matrix:v1</w:t>
            </w:r>
          </w:p>
        </w:tc>
        <w:tc>
          <w:p>
            <w:r>
              <w:t xml:space="preserve">ef1fa3f0f3e41d9d...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classify</w:t>
            </w:r>
          </w:p>
        </w:tc>
        <w:tc>
          <w:p>
            <w:r>
              <w:t xml:space="preserve">models.classifier.FrozenClassifier:v1_demo</w:t>
            </w:r>
          </w:p>
        </w:tc>
        <w:tc>
          <w:p>
            <w:r>
              <w:t xml:space="preserve">66e909015ba778c5...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2026-07-28T10:39:45.614Z</dcterms:created>
  <dcterms:modified xsi:type="dcterms:W3CDTF">2026-07-28T10:39:45.624Z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