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JUZGADO DE INSTRUCCIÓN N.º 2 DE ZARAGOZA</w:t>
      </w:r>
    </w:p>
    <w:p>
      <w:pPr>
        <w:jc w:val="center"/>
      </w:pPr>
      <w:r>
        <w:rPr>
          <w:b/>
        </w:rPr>
        <w:t>INFORME PERICIAL FORENSE DIGITAL SOBRE INCIDENTE DE RED DETECTADO MEDIANTE INTELIGENCIA ARTIFICIAL EXPLICABLE (XAI)</w:t>
      </w:r>
    </w:p>
    <w:p/>
    <w:p>
      <w:pPr>
        <w:jc w:val="both"/>
      </w:pPr>
      <w:r>
        <w:rPr>
          <w:b/>
        </w:rPr>
        <w:t xml:space="preserve">Ref.: </w:t>
      </w:r>
      <w:r>
        <w:t>MODEXRE/CASO-2026-014</w:t>
      </w:r>
    </w:p>
    <w:p>
      <w:pPr>
        <w:jc w:val="both"/>
      </w:pPr>
      <w:r>
        <w:rPr>
          <w:b/>
        </w:rPr>
        <w:t xml:space="preserve">Procedimiento: </w:t>
      </w:r>
      <w:r>
        <w:t>DILIGENCIAS PREVIAS N.º 487/2026</w:t>
      </w:r>
    </w:p>
    <w:p>
      <w:pPr>
        <w:jc w:val="both"/>
      </w:pPr>
      <w:r>
        <w:rPr>
          <w:b/>
        </w:rPr>
        <w:t xml:space="preserve">Emitido por: </w:t>
      </w:r>
      <w:r>
        <w:t>José Luis Vela — Analista forense en ciberseguridad</w:t>
      </w:r>
    </w:p>
    <w:p>
      <w:pPr>
        <w:jc w:val="both"/>
      </w:pPr>
      <w:r>
        <w:rPr>
          <w:b/>
        </w:rPr>
        <w:t xml:space="preserve">N.º de colegiado: </w:t>
      </w:r>
      <w:r/>
    </w:p>
    <w:p>
      <w:pPr>
        <w:jc w:val="both"/>
      </w:pPr>
      <w:r>
        <w:rPr>
          <w:b/>
        </w:rPr>
        <w:t xml:space="preserve">A requerimiento de: </w:t>
      </w:r>
      <w:r>
        <w:t>INDUSTRIAS EBRO, S.L.</w:t>
      </w:r>
    </w:p>
    <w:p>
      <w:pPr>
        <w:jc w:val="both"/>
      </w:pPr>
      <w:r>
        <w:rPr>
          <w:b/>
        </w:rPr>
        <w:t xml:space="preserve">Fecha de emisión: </w:t>
      </w:r>
      <w:r>
        <w:t>22/10/2026</w:t>
      </w:r>
    </w:p>
    <w:p/>
    <w:p>
      <w:pPr>
        <w:jc w:val="both"/>
      </w:pPr>
      <w:r>
        <w:rPr>
          <w:b/>
        </w:rPr>
        <w:t xml:space="preserve">*** DOCUMENTO CONFIDENCIAL *** — </w:t>
      </w:r>
      <w:r>
        <w:rPr>
          <w:i/>
        </w:rPr>
        <w:t>Su difusión queda limitada conforme a la normativa procesal aplicable en materia de protección de datos y confidencialidad de las actuaciones judiciales.</w:t>
      </w:r>
    </w:p>
    <w:p/>
    <w:p>
      <w:pPr>
        <w:pStyle w:val="Heading1"/>
      </w:pPr>
      <w:r>
        <w:t>1. Objeto del Informe</w:t>
      </w:r>
    </w:p>
    <w:p>
      <w:pPr>
        <w:jc w:val="both"/>
      </w:pPr>
      <w:r>
        <w:t>El presente informe pericial tiene por objeto el análisis técnico y forense de una serie de eventos de tráfico de red que presentan características compatibles con distintos tipos de ataques informáticos, detectados mediante el uso combinado de un modelo de clasificación de aprendizaje automático (XGBoost) y técnicas de inteligencia artificial explicable (SHAP).</w:t>
      </w:r>
    </w:p>
    <w:p>
      <w:pPr>
        <w:jc w:val="both"/>
      </w:pPr>
      <w:r>
        <w:t>El dictamen se emite con la finalidad de determinar la existencia de indicios técnicos razonables de actividad maliciosa, así como de justificar de forma comprensible, reproducible y trazable las conclusiones alcanzadas, de modo que puedan ser evaluadas por terceros, incluidos órganos judiciales, auditores técnicos o peritos independientes.</w:t>
      </w:r>
    </w:p>
    <w:p>
      <w:pPr>
        <w:jc w:val="both"/>
      </w:pPr>
      <w:r>
        <w:t>El análisis realizado no se limita a la obtención de una clasificación automática (tráfico legítimo frente a tráfico malicioso), sino que incorpora una interpretación de los factores técnicos que han conducido a dicha clasificación. Las conclusiones se expresan en términos de probabilidad técnica y coherencia con patrones conocidos de ataque, evitando afirmaciones categóricas que excedan el alcance del análisis realizado.</w:t>
      </w:r>
    </w:p>
    <w:p>
      <w:pPr>
        <w:jc w:val="both"/>
      </w:pPr>
      <w:r>
        <w:rPr>
          <w:b/>
        </w:rPr>
        <w:t xml:space="preserve">El informe NO incluye: </w:t>
      </w:r>
      <w:r>
        <w:t>identificación de autoría humana del ataque; análisis del impacto económico; investigación sobre infraestructura física del sistema origen. El alcance queda limitado estrictamente al análisis de red y explicación técnica de las predicciones generadas por el modelo de IA empleado.</w:t>
      </w:r>
    </w:p>
    <w:p>
      <w:pPr>
        <w:pStyle w:val="Heading1"/>
      </w:pPr>
      <w:r>
        <w:t>2. Identificación del Perito y Alcance de su Intervención</w:t>
      </w:r>
    </w:p>
    <w:p>
      <w:pPr>
        <w:jc w:val="both"/>
      </w:pPr>
      <w:r>
        <w:t>El presente informe ha sido elaborado por José Luis Vela, en su condición de Analista forense en ciberseguridad, actuando con plena autonomía técnica y sin relación de dependencia con las partes implicadas en el procedimiento.</w:t>
      </w:r>
    </w:p>
    <w:p>
      <w:pPr>
        <w:jc w:val="both"/>
      </w:pPr>
      <w:r>
        <w:t>La intervención del perito se ha limitado al análisis técnico de la evidencia digital proporcionada, mediante el sistema MODEXRE, sin acceso ni intervención sobre los sistemas de producción origen de dicha evidencia.</w:t>
      </w:r>
    </w:p>
    <w:p>
      <w:pPr>
        <w:pStyle w:val="Heading1"/>
      </w:pPr>
      <w:r>
        <w:t>3. Base Legal y Normativa Aplicable</w:t>
      </w:r>
    </w:p>
    <w:p>
      <w:pPr>
        <w:jc w:val="both"/>
      </w:pPr>
      <w:r>
        <w:t>El presente informe se elabora conforme a los principios de objetividad, imparcialidad y neutralidad técnica exigidos a la prueba pericial. El diseño metodológico del análisis se ha inspirado en los principios de las normas ISO/IEC 27037:2012 (identificación, recolección, adquisición y preservación de evidencia digital), ISO/IEC 27042:2015 (análisis e interpretación de evidencia digital), y la guía NIST SP 800-86 (Guide to Integrating Forensic Techniques into Incident Response).</w:t>
      </w:r>
    </w:p>
    <w:p>
      <w:pPr>
        <w:pStyle w:val="Heading1"/>
      </w:pPr>
      <w:r>
        <w:t>4. Documentación y Evidencia Recibida</w:t>
      </w:r>
    </w:p>
    <w:p>
      <w:pPr>
        <w:jc w:val="both"/>
      </w:pPr>
      <w:r>
        <w:rPr>
          <w:b/>
        </w:rPr>
        <w:t xml:space="preserve">Fuente de la evidencia: </w:t>
      </w:r>
      <w:r>
        <w:t>captura de tráfico de red (PCAP)</w:t>
      </w:r>
    </w:p>
    <w:p>
      <w:pPr>
        <w:jc w:val="both"/>
      </w:pPr>
      <w:r>
        <w:rPr>
          <w:b/>
        </w:rPr>
        <w:t xml:space="preserve">Fichero analizado: </w:t>
      </w:r>
      <w:r>
        <w:t>CASO-2026-014_captura.pcap</w:t>
      </w:r>
    </w:p>
    <w:p>
      <w:pPr>
        <w:jc w:val="both"/>
      </w:pPr>
      <w:r>
        <w:rPr>
          <w:b/>
        </w:rPr>
        <w:t xml:space="preserve">Fecha de recepción/ingesta: </w:t>
      </w:r>
      <w:r>
        <w:t>22/10/2026</w:t>
      </w:r>
    </w:p>
    <w:p>
      <w:pPr>
        <w:jc w:val="both"/>
      </w:pPr>
      <w:r>
        <w:rPr>
          <w:b/>
        </w:rPr>
        <w:t xml:space="preserve">Hash de integridad de la cadena de custodia: </w:t>
      </w:r>
      <w:r>
        <w:t>Verificado</w:t>
      </w:r>
    </w:p>
    <w:p>
      <w:r>
        <w:br w:type="page"/>
      </w:r>
    </w:p>
    <w:p>
      <w:pPr>
        <w:pStyle w:val="Heading1"/>
      </w:pPr>
      <w:r>
        <w:t>5. Metodología General de Análisis</w:t>
      </w:r>
    </w:p>
    <w:p>
      <w:pPr>
        <w:jc w:val="both"/>
      </w:pPr>
      <w:r>
        <w:t>El análisis se ha desarrollado mediante un proceso automatizado y trazable de cinco etapas, cada una registrada de forma verificable en una cadena de custodia digital: (1) ingesta de la evidencia bruta, con cálculo de su huella criptográfica (SHA-256); (2) normalización de los eventos al estándar internacional OCSF (Open Cybersecurity Schema Framework); (3) agregación causal por origen y ventana temporal, para identificar patrones de comportamiento no visibles en un único evento aislado; (4) extracción de un vector de características numéricas por evento; y (5) clasificación mediante un modelo de aprendizaje automático (XGBoost), con explicación local de cada decisión mediante la técnica SHAP (SHapley Additive exPlanations).</w:t>
      </w:r>
    </w:p>
    <w:p>
      <w:pPr>
        <w:pStyle w:val="Heading2"/>
      </w:pPr>
      <w:r>
        <w:t>Uso de Inteligencia Artificial Explicable (XAI)</w:t>
      </w:r>
    </w:p>
    <w:p>
      <w:pPr>
        <w:jc w:val="both"/>
      </w:pPr>
      <w:r>
        <w:t>El uso de técnicas de IA explicable (XAI) resulta central en la metodología aplicada: no basta con obtener una clasificación automática, sino que resulta necesario justificar de forma comprensible y reproducible qué variables técnicas concretas han motivado dicha clasificación. Para ello se emplea SHAP, técnica que asigna a cada variable del modelo una contribución cuantificada a la decisión final, permitiendo reconstruir el razonamiento del modelo caso por caso.</w:t>
      </w:r>
    </w:p>
    <w:p>
      <w:pPr>
        <w:pStyle w:val="Heading2"/>
      </w:pPr>
      <w:r>
        <w:t>Limitaciones Generales del Análisis</w:t>
      </w:r>
    </w:p>
    <w:p>
      <w:pPr>
        <w:jc w:val="both"/>
      </w:pPr>
      <w:r>
        <w:t>El presente análisis está sujeto a las siguientes limitaciones, que deben tenerse en cuenta en su valoración: el modelo emplea un subconjunto de características derivables de la fuente de evidencia analizada, no la totalidad de las variables que podría ofrecer un dataset de investigación con instrumentación completa; las conclusiones se expresan en términos de probabilidad técnica, no de certeza absoluta; y el sistema no determina intencionalidad ni autoría humana, limitándose al análisis objetivo del tráfico de red.</w:t>
      </w:r>
    </w:p>
    <w:p>
      <w:pPr>
        <w:pStyle w:val="Heading2"/>
      </w:pPr>
      <w:r>
        <w:t>Modelo de Detección Empleado</w:t>
      </w:r>
    </w:p>
    <w:p>
      <w:pPr>
        <w:jc w:val="both"/>
      </w:pPr>
      <w:r>
        <w:rPr>
          <w:b/>
        </w:rPr>
        <w:t xml:space="preserve">Modelo: </w:t>
      </w:r>
      <w:r>
        <w:t>XGBoost — versión certificada v3</w:t>
      </w:r>
    </w:p>
    <w:p>
      <w:pPr>
        <w:jc w:val="both"/>
      </w:pPr>
      <w:r>
        <w:t>El modelo fue entrenado y validado en un entorno de laboratorio independiente, con datos distintos de la evidencia analizada en este informe, y posteriormente congelado (verificación de integridad mediante hash criptográfico del propio fichero de modelo) para su uso exclusivo en modo de inferencia. El modelo NO se ha reentrenado ni ajustado con la evidencia de este caso, garantizando que el sistema aplicado es exactamente el mismo que fue validado con anterioridad.</w:t>
      </w:r>
    </w:p>
    <w:p>
      <w:r>
        <w:br w:type="page"/>
      </w:r>
    </w:p>
    <w:p>
      <w:pPr>
        <w:pStyle w:val="Heading1"/>
      </w:pPr>
      <w:r>
        <w:t>CASO FORENSE N.º 1 — ATAQUE DE ACTIVIDAD ANÓMALA DE RED</w:t>
      </w:r>
    </w:p>
    <w:p>
      <w:pPr>
        <w:pStyle w:val="Heading2"/>
      </w:pPr>
      <w:r>
        <w:t>Identificación del Incidente Analizado</w:t>
      </w:r>
    </w:p>
    <w:p>
      <w:pPr>
        <w:jc w:val="both"/>
      </w:pPr>
      <w:r>
        <w:t>Se han identificado 5 evento(s) de la evidencia analizada clasificados por el modelo como compatibles con un patrón de actividad anómala de red, con origen en: 10.14.3.87.</w:t>
      </w:r>
    </w:p>
    <w:p>
      <w:pPr>
        <w:pStyle w:val="Heading2"/>
      </w:pPr>
      <w:r>
        <w:t>Características Técnicas del Incidente</w:t>
      </w:r>
    </w:p>
    <w:p>
      <w:pPr>
        <w:jc w:val="both"/>
      </w:pPr>
      <w:r>
        <w:t>El tráfico examinado presenta características estadísticas significativamente distintas del patrón de tráfico legítimo observado como referencia, según el modelo de clasificación empleado.</w:t>
      </w:r>
    </w:p>
    <w:p>
      <w:pPr>
        <w:pStyle w:val="Heading2"/>
      </w:pPr>
      <w:r>
        <w:t>Evidencia Digital Asociada al Incidente</w:t>
      </w:r>
    </w:p>
    <w:p>
      <w:pPr>
        <w:jc w:val="both"/>
      </w:pPr>
      <w:r>
        <w:t>La evidencia digital recopilada muestra un conjunto de flujos de red cuyas características agregadas son coherentes entre sí y distintas del comportamiento normal de la red analizada.</w:t>
      </w:r>
    </w:p>
    <w:p>
      <w:pPr>
        <w:jc w:val="both"/>
      </w:pPr>
      <w:r>
        <w:t>La probabilidad media asignada por el modelo a los eventos de este caso es de 0.532 sobre 1.0.</w:t>
      </w:r>
    </w:p>
    <w:p>
      <w:pPr>
        <w:pStyle w:val="Heading2"/>
      </w:pPr>
      <w:r>
        <w:t>Análisis Explicable (XAI) del Incidente</w:t>
      </w:r>
    </w:p>
    <w:p>
      <w:pPr>
        <w:jc w:val="both"/>
      </w:pPr>
      <w:r>
        <w:t>Con el fin de interpretar las decisiones del modelo, se ha aplicado la técnica SHAP a cada evento individual de este caso. Las variables con mayor influencia agregada en la clasificación de estos eventos han sido:</w:t>
      </w:r>
    </w:p>
    <w:p>
      <w:pPr>
        <w:pStyle w:val="ListBullet"/>
        <w:jc w:val="both"/>
      </w:pPr>
      <w:r>
        <w:t>agg_distinct_dst_ports (contribución agregada: 11.306)</w:t>
      </w:r>
    </w:p>
    <w:p>
      <w:pPr>
        <w:pStyle w:val="ListBullet"/>
        <w:jc w:val="both"/>
      </w:pPr>
      <w:r>
        <w:t>packets_out (contribución agregada: 8.216)</w:t>
      </w:r>
    </w:p>
    <w:p>
      <w:pPr>
        <w:pStyle w:val="ListBullet"/>
        <w:jc w:val="both"/>
      </w:pPr>
      <w:r>
        <w:t>agg_events_in_window (contribución agregada: 4.207)</w:t>
      </w:r>
    </w:p>
    <w:p>
      <w:pPr>
        <w:pStyle w:val="ListBullet"/>
        <w:jc w:val="both"/>
      </w:pPr>
      <w:r>
        <w:t>agg_distinct_dst_hosts (contribución agregada: 2.317)</w:t>
      </w:r>
    </w:p>
    <w:p>
      <w:pPr>
        <w:pStyle w:val="ListBullet"/>
        <w:jc w:val="both"/>
      </w:pPr>
      <w:r>
        <w:t>packets_in (contribución agregada: 1.614)</w:t>
      </w:r>
    </w:p>
    <w:p>
      <w:pPr>
        <w:jc w:val="both"/>
      </w:pPr>
      <w:r>
        <w:t>Esta explicación permite vincular directamente las métricas técnicas del tráfico analizado con el comportamiento esperado de esta tipología de ataque, proporcionando una justificación clara y reproducible de la clasificación.</w:t>
      </w:r>
    </w:p>
    <w:p>
      <w:pPr>
        <w:pStyle w:val="Heading2"/>
      </w:pPr>
      <w:r>
        <w:t>Valoración Pericial del Caso</w:t>
      </w:r>
    </w:p>
    <w:p>
      <w:pPr>
        <w:jc w:val="both"/>
      </w:pPr>
      <w:r>
        <w:t>A la vista de los elementos analizados, se concluye que los registros examinados presentan una coherencia técnica elevada con un ataque de actividad anómala de red, en consonancia con los patrones descritos en la literatura de seguridad informática y análisis forense de red.</w:t>
      </w:r>
    </w:p>
    <w:p>
      <w:pPr>
        <w:jc w:val="both"/>
      </w:pPr>
      <w:r>
        <w:t>Esta conclusión se formula en términos de probabilidad técnica elevada, sin atribuir intencionalidad subjetiva ni responsabilidad directa, limitándose estrictamente al análisis objetivo del tráfico de red.</w:t>
      </w:r>
    </w:p>
    <w:p>
      <w:pPr>
        <w:jc w:val="both"/>
      </w:pPr>
      <w:r>
        <w:t>Con ello se da por concluido el análisis correspondiente al CASO 1.</w:t>
      </w:r>
    </w:p>
    <w:p>
      <w:r>
        <w:br w:type="page"/>
      </w:r>
    </w:p>
    <w:p>
      <w:pPr>
        <w:pStyle w:val="Heading1"/>
      </w:pPr>
      <w:r>
        <w:t>CASO FORENSE N.º 2 — ATAQUE DE RECONOCIMIENTO DE RED (RECONNAISSANCE)</w:t>
      </w:r>
    </w:p>
    <w:p>
      <w:pPr>
        <w:pStyle w:val="Heading2"/>
      </w:pPr>
      <w:r>
        <w:t>Identificación del Incidente Analizado</w:t>
      </w:r>
    </w:p>
    <w:p>
      <w:pPr>
        <w:jc w:val="both"/>
      </w:pPr>
      <w:r>
        <w:t>Se han identificado 96 evento(s) de la evidencia analizada clasificados por el modelo como compatibles con un patrón de reconocimiento de red (reconnaissance), con origen en: 10.14.3.87.</w:t>
      </w:r>
    </w:p>
    <w:p>
      <w:pPr>
        <w:pStyle w:val="Heading2"/>
      </w:pPr>
      <w:r>
        <w:t>Características Técnicas del Incidente</w:t>
      </w:r>
    </w:p>
    <w:p>
      <w:pPr>
        <w:jc w:val="both"/>
      </w:pPr>
      <w:r>
        <w:t>Las actividades de reconocimiento se caracterizan por la exploración sistemática de la infraestructura de red objetivo, con el fin de identificar sistemas activos, servicios expuestos y posibles vulnerabilidades, sin explotar activamente ninguna de ellas en esta fase.</w:t>
      </w:r>
    </w:p>
    <w:p>
      <w:pPr>
        <w:pStyle w:val="Heading2"/>
      </w:pPr>
      <w:r>
        <w:t>Evidencia Digital Asociada al Incidente</w:t>
      </w:r>
    </w:p>
    <w:p>
      <w:pPr>
        <w:jc w:val="both"/>
      </w:pPr>
      <w:r>
        <w:t>La evidencia digital es compatible con una fase de exploración previa a un ataque, mostrando un patrón de acceso sistemático a distintos recursos de la red objetivo.</w:t>
      </w:r>
    </w:p>
    <w:p>
      <w:pPr>
        <w:jc w:val="both"/>
      </w:pPr>
      <w:r>
        <w:t>La probabilidad media asignada por el modelo a los eventos de este caso es de 0.691 sobre 1.0.</w:t>
      </w:r>
    </w:p>
    <w:p>
      <w:pPr>
        <w:pStyle w:val="Heading2"/>
      </w:pPr>
      <w:r>
        <w:t>Análisis Explicable (XAI) del Incidente</w:t>
      </w:r>
    </w:p>
    <w:p>
      <w:pPr>
        <w:jc w:val="both"/>
      </w:pPr>
      <w:r>
        <w:t>Con el fin de interpretar las decisiones del modelo, se ha aplicado la técnica SHAP a cada evento individual de este caso. Las variables con mayor influencia agregada en la clasificación de estos eventos han sido:</w:t>
      </w:r>
    </w:p>
    <w:p>
      <w:pPr>
        <w:pStyle w:val="ListBullet"/>
        <w:jc w:val="both"/>
      </w:pPr>
      <w:r>
        <w:t>packets_out (contribución agregada: 182.650)</w:t>
      </w:r>
    </w:p>
    <w:p>
      <w:pPr>
        <w:pStyle w:val="ListBullet"/>
        <w:jc w:val="both"/>
      </w:pPr>
      <w:r>
        <w:t>agg_distinct_dst_ports (contribución agregada: 157.875)</w:t>
      </w:r>
    </w:p>
    <w:p>
      <w:pPr>
        <w:pStyle w:val="ListBullet"/>
        <w:jc w:val="both"/>
      </w:pPr>
      <w:r>
        <w:t>duration (contribución agregada: 139.857)</w:t>
      </w:r>
    </w:p>
    <w:p>
      <w:pPr>
        <w:pStyle w:val="ListBullet"/>
        <w:jc w:val="both"/>
      </w:pPr>
      <w:r>
        <w:t>agg_distinct_dst_hosts (contribución agregada: 93.187)</w:t>
      </w:r>
    </w:p>
    <w:p>
      <w:pPr>
        <w:pStyle w:val="ListBullet"/>
        <w:jc w:val="both"/>
      </w:pPr>
      <w:r>
        <w:t>agg_events_per_second (contribución agregada: 92.628)</w:t>
      </w:r>
    </w:p>
    <w:p>
      <w:pPr>
        <w:jc w:val="both"/>
      </w:pPr>
      <w:r>
        <w:t>Esta explicación permite vincular directamente las métricas técnicas del tráfico analizado con el comportamiento esperado de esta tipología de ataque, proporcionando una justificación clara y reproducible de la clasificación.</w:t>
      </w:r>
    </w:p>
    <w:p>
      <w:pPr>
        <w:pStyle w:val="Heading2"/>
      </w:pPr>
      <w:r>
        <w:t>Valoración Pericial del Caso</w:t>
      </w:r>
    </w:p>
    <w:p>
      <w:pPr>
        <w:jc w:val="both"/>
      </w:pPr>
      <w:r>
        <w:t>A la vista de los elementos analizados, se concluye que los registros examinados presentan una coherencia técnica elevada con un ataque de reconocimiento de red (reconnaissance), en consonancia con los patrones descritos en la literatura de seguridad informática y análisis forense de red.</w:t>
      </w:r>
    </w:p>
    <w:p>
      <w:pPr>
        <w:jc w:val="both"/>
      </w:pPr>
      <w:r>
        <w:t>Esta conclusión se formula en términos de probabilidad técnica elevada, sin atribuir intencionalidad subjetiva ni responsabilidad directa, limitándose estrictamente al análisis objetivo del tráfico de red.</w:t>
      </w:r>
    </w:p>
    <w:p>
      <w:pPr>
        <w:jc w:val="both"/>
      </w:pPr>
      <w:r>
        <w:t>Con ello se da por concluido el análisis correspondiente al CASO 2.</w:t>
      </w:r>
    </w:p>
    <w:p>
      <w:r>
        <w:br w:type="page"/>
      </w:r>
    </w:p>
    <w:p>
      <w:pPr>
        <w:pStyle w:val="Heading1"/>
      </w:pPr>
      <w:r>
        <w:t>CASO FORENSE N.º 3 — ATAQUE DE ACTIVIDAD ANÓMALA DE RED</w:t>
      </w:r>
    </w:p>
    <w:p>
      <w:pPr>
        <w:pStyle w:val="Heading2"/>
      </w:pPr>
      <w:r>
        <w:t>Identificación del Incidente Analizado</w:t>
      </w:r>
    </w:p>
    <w:p>
      <w:pPr>
        <w:jc w:val="both"/>
      </w:pPr>
      <w:r>
        <w:t>Se han identificado 1 evento(s) de la evidencia analizada clasificados por el modelo como compatibles con un patrón de actividad anómala de red, con origen en: 10.14.3.23.</w:t>
      </w:r>
    </w:p>
    <w:p>
      <w:pPr>
        <w:pStyle w:val="Heading2"/>
      </w:pPr>
      <w:r>
        <w:t>Características Técnicas del Incidente</w:t>
      </w:r>
    </w:p>
    <w:p>
      <w:pPr>
        <w:jc w:val="both"/>
      </w:pPr>
      <w:r>
        <w:t>El tráfico examinado presenta características estadísticas significativamente distintas del patrón de tráfico legítimo observado como referencia, según el modelo de clasificación empleado.</w:t>
      </w:r>
    </w:p>
    <w:p>
      <w:pPr>
        <w:pStyle w:val="Heading2"/>
      </w:pPr>
      <w:r>
        <w:t>Evidencia Digital Asociada al Incidente</w:t>
      </w:r>
    </w:p>
    <w:p>
      <w:pPr>
        <w:jc w:val="both"/>
      </w:pPr>
      <w:r>
        <w:t>La evidencia digital recopilada muestra un conjunto de flujos de red cuyas características agregadas son coherentes entre sí y distintas del comportamiento normal de la red analizada.</w:t>
      </w:r>
    </w:p>
    <w:p>
      <w:pPr>
        <w:jc w:val="both"/>
      </w:pPr>
      <w:r>
        <w:t>La probabilidad media asignada por el modelo a los eventos de este caso es de 0.540 sobre 1.0.</w:t>
      </w:r>
    </w:p>
    <w:p>
      <w:pPr>
        <w:pStyle w:val="Heading2"/>
      </w:pPr>
      <w:r>
        <w:t>Análisis Explicable (XAI) del Incidente</w:t>
      </w:r>
    </w:p>
    <w:p>
      <w:pPr>
        <w:jc w:val="both"/>
      </w:pPr>
      <w:r>
        <w:t>Con el fin de interpretar las decisiones del modelo, se ha aplicado la técnica SHAP a cada evento individual de este caso. Las variables con mayor influencia agregada en la clasificación de estos eventos han sido:</w:t>
      </w:r>
    </w:p>
    <w:p>
      <w:pPr>
        <w:pStyle w:val="ListBullet"/>
        <w:jc w:val="both"/>
      </w:pPr>
      <w:r>
        <w:t>agg_events_in_window (contribución agregada: 2.406)</w:t>
      </w:r>
    </w:p>
    <w:p>
      <w:pPr>
        <w:pStyle w:val="ListBullet"/>
        <w:jc w:val="both"/>
      </w:pPr>
      <w:r>
        <w:t>agg_events_per_second (contribución agregada: 2.181)</w:t>
      </w:r>
    </w:p>
    <w:p>
      <w:pPr>
        <w:pStyle w:val="ListBullet"/>
        <w:jc w:val="both"/>
      </w:pPr>
      <w:r>
        <w:t>agg_distinct_dst_hosts (contribución agregada: 1.454)</w:t>
      </w:r>
    </w:p>
    <w:p>
      <w:pPr>
        <w:pStyle w:val="ListBullet"/>
        <w:jc w:val="both"/>
      </w:pPr>
      <w:r>
        <w:t>duration (contribución agregada: 1.306)</w:t>
      </w:r>
    </w:p>
    <w:p>
      <w:pPr>
        <w:pStyle w:val="ListBullet"/>
        <w:jc w:val="both"/>
      </w:pPr>
      <w:r>
        <w:t>packets_in (contribución agregada: 1.050)</w:t>
      </w:r>
    </w:p>
    <w:p>
      <w:pPr>
        <w:jc w:val="both"/>
      </w:pPr>
      <w:r>
        <w:t>Esta explicación permite vincular directamente las métricas técnicas del tráfico analizado con el comportamiento esperado de esta tipología de ataque, proporcionando una justificación clara y reproducible de la clasificación.</w:t>
      </w:r>
    </w:p>
    <w:p>
      <w:pPr>
        <w:pStyle w:val="Heading2"/>
      </w:pPr>
      <w:r>
        <w:t>Valoración Pericial del Caso</w:t>
      </w:r>
    </w:p>
    <w:p>
      <w:pPr>
        <w:jc w:val="both"/>
      </w:pPr>
      <w:r>
        <w:t>A la vista de los elementos analizados, se concluye que los registros examinados presentan una coherencia técnica elevada con un ataque de actividad anómala de red, en consonancia con los patrones descritos en la literatura de seguridad informática y análisis forense de red.</w:t>
      </w:r>
    </w:p>
    <w:p>
      <w:pPr>
        <w:jc w:val="both"/>
      </w:pPr>
      <w:r>
        <w:t>Esta conclusión se formula en términos de probabilidad técnica elevada, sin atribuir intencionalidad subjetiva ni responsabilidad directa, limitándose estrictamente al análisis objetivo del tráfico de red.</w:t>
      </w:r>
    </w:p>
    <w:p>
      <w:pPr>
        <w:jc w:val="both"/>
      </w:pPr>
      <w:r>
        <w:t>Con ello se da por concluido el análisis correspondiente al CASO 3.</w:t>
      </w:r>
    </w:p>
    <w:p>
      <w:r>
        <w:br w:type="page"/>
      </w:r>
    </w:p>
    <w:p>
      <w:pPr>
        <w:pStyle w:val="Heading1"/>
      </w:pPr>
      <w:r>
        <w:t>Conclusión Pericial Global del Informe</w:t>
      </w:r>
    </w:p>
    <w:p>
      <w:pPr>
        <w:jc w:val="both"/>
      </w:pPr>
      <w:r>
        <w:t>El análisis técnico y forense realizado ha permitido identificar y evaluar, con criterios objetivos y reproducibles, 3 tipología(s) de ataque diferenciada(s) en la evidencia analizada: ACTIVIDAD ANÓMALA DE RED, RECONOCIMIENTO DE RED (RECONNAISSANCE), ACTIVIDAD ANÓMALA DE RED.</w:t>
      </w:r>
    </w:p>
    <w:p>
      <w:pPr>
        <w:jc w:val="both"/>
      </w:pPr>
      <w:r>
        <w:t>Las conclusiones alcanzadas no se basan exclusivamente en una clasificación automática, sino en un análisis combinado que integra: los resultados de un modelo de detección entrenado y validado; la evidencia digital observable en los flujos de red analizados; y su interpretación mediante técnicas explicables (SHAP). Este enfoque permite afirmar que las inferencias realizadas se apoyan en criterios técnicos verificables, evitando decisiones opacas o arbitrarias.</w:t>
      </w:r>
    </w:p>
    <w:p>
      <w:pPr>
        <w:jc w:val="both"/>
      </w:pPr>
      <w:r>
        <w:t>Desde el punto de vista probatorio, el sistema aplicado cumple con los principios fundamentales exigidos en el ámbito forense: reproducibilidad, trazabilidad, integridad y explicabilidad. Puede afirmarse que el sistema descrito constituye una herramienta válida de apoyo al análisis forense digital, siempre que sea utilizada bajo supervisión humana y con pleno conocimiento de sus limitaciones. Su aplicación no sustituye al criterio del perito, pero sí refuerza su capacidad analítica y la solidez técnica de las conclusiones alcanzadas.</w:t>
      </w:r>
    </w:p>
    <w:p>
      <w:pPr>
        <w:pStyle w:val="Heading2"/>
      </w:pPr>
      <w:r>
        <w:t>Resultado Pericial</w:t>
      </w:r>
    </w:p>
    <w:p>
      <w:pPr>
        <w:jc w:val="both"/>
      </w:pPr>
      <w:r>
        <w:t>El perito concluye que:</w:t>
      </w:r>
    </w:p>
    <w:p>
      <w:pPr>
        <w:pStyle w:val="ListBullet"/>
        <w:jc w:val="both"/>
      </w:pPr>
      <w:r>
        <w:t>En el/los caso(s) analizado(s) concurren indicios técnicos sólidos, repetitivos y coherentes con ataques cibernéticos reales.</w:t>
      </w:r>
    </w:p>
    <w:p>
      <w:pPr>
        <w:pStyle w:val="ListBullet"/>
        <w:jc w:val="both"/>
      </w:pPr>
      <w:r>
        <w:t>Las explicaciones generadas mediante IA explicable (XAI) son reproducibles, auditables y metodológicamente válidas como apoyo a la prueba pericial.</w:t>
      </w:r>
    </w:p>
    <w:p>
      <w:pPr>
        <w:pStyle w:val="ListBullet"/>
        <w:jc w:val="both"/>
      </w:pPr>
      <w:r>
        <w:t>La evidencia digital se ha mantenido íntegra bajo cadena de custodia controlada y verificada.</w:t>
      </w:r>
    </w:p>
    <w:p>
      <w:pPr>
        <w:pStyle w:val="Heading2"/>
      </w:pPr>
      <w:r>
        <w:t>Admisibilidad y Aptitud para Juicio</w:t>
      </w:r>
    </w:p>
    <w:p>
      <w:pPr>
        <w:jc w:val="both"/>
      </w:pPr>
      <w:r>
        <w:t>El informe cumple con los requisitos de objetividad, claridad y precisión exigibles a la prueba pericial, así como con los estándares internacionales de investigación digital referidos en el apartado de Base Legal. Por ello, este informe puede ser presentado ante la autoridad judicial competente como prueba pericial digital.</w:t>
      </w:r>
    </w:p>
    <w:p>
      <w:r>
        <w:br w:type="page"/>
      </w:r>
    </w:p>
    <w:p>
      <w:pPr>
        <w:pStyle w:val="Heading1"/>
      </w:pPr>
      <w:r>
        <w:t>Recomendaciones a la Autoridad Judicial</w:t>
      </w:r>
    </w:p>
    <w:p>
      <w:pPr>
        <w:pStyle w:val="ListBullet"/>
        <w:jc w:val="both"/>
      </w:pPr>
      <w:r>
        <w:t>Admitir el presente informe como prueba pericial digital complementaria.</w:t>
      </w:r>
    </w:p>
    <w:p>
      <w:pPr>
        <w:pStyle w:val="ListBullet"/>
        <w:jc w:val="both"/>
      </w:pPr>
      <w:r>
        <w:t>Solicitar, si se considera oportuno, contrapericia independiente para validar la reproducibilidad del análisis.</w:t>
      </w:r>
    </w:p>
    <w:p>
      <w:pPr>
        <w:pStyle w:val="ListBullet"/>
        <w:jc w:val="both"/>
      </w:pPr>
      <w:r>
        <w:t>Relevar al perito para ampliación oral durante vista o juicio, si resultara necesario.</w:t>
      </w:r>
    </w:p>
    <w:p>
      <w:pPr>
        <w:pStyle w:val="Heading1"/>
      </w:pPr>
      <w:r>
        <w:t>Recomendaciones Técnicas (para la entidad afectada)</w:t>
      </w:r>
    </w:p>
    <w:p>
      <w:pPr>
        <w:pStyle w:val="ListBullet"/>
        <w:jc w:val="both"/>
      </w:pPr>
      <w:r>
        <w:t>Implementar un IDS/IPS con capacidad de detección basada en firmas y en comportamiento.</w:t>
      </w:r>
    </w:p>
    <w:p>
      <w:pPr>
        <w:pStyle w:val="ListBullet"/>
        <w:jc w:val="both"/>
      </w:pPr>
      <w:r>
        <w:t>Registrar de forma sistemática las métricas de tráfico relevantes empleadas en este análisis (duración, paquetes y bytes por dirección, puertos/hosts distintos contactados por origen).</w:t>
      </w:r>
    </w:p>
    <w:p>
      <w:pPr>
        <w:pStyle w:val="ListBullet"/>
        <w:jc w:val="both"/>
      </w:pPr>
      <w:r>
        <w:t>Incorporar herramientas de IA explicable en los procesos internos de auditoría y en el SOC.</w:t>
      </w:r>
    </w:p>
    <w:p>
      <w:pPr>
        <w:pStyle w:val="ListBullet"/>
        <w:jc w:val="both"/>
      </w:pPr>
      <w:r>
        <w:t>Mantener actualización continua de los sistemas críticos expuestos.</w:t>
      </w:r>
    </w:p>
    <w:p>
      <w:pPr>
        <w:pStyle w:val="ListBullet"/>
        <w:jc w:val="both"/>
      </w:pPr>
      <w:r>
        <w:t>Revisar y, si procede, restringir el acceso desde los orígenes identificados con actividad de escaneo en el presente informe.</w:t>
      </w:r>
    </w:p>
    <w:p>
      <w:pPr>
        <w:pStyle w:val="Heading1"/>
      </w:pPr>
      <w:r>
        <w:t>Propuesta de Conservación de Evidencias</w:t>
      </w:r>
    </w:p>
    <w:p>
      <w:pPr>
        <w:jc w:val="both"/>
      </w:pPr>
      <w:r>
        <w:t>Se recomienda conservar:</w:t>
      </w:r>
    </w:p>
    <w:p>
      <w:pPr>
        <w:pStyle w:val="ListBullet"/>
        <w:jc w:val="both"/>
      </w:pPr>
      <w:r>
        <w:t>Copia verificada de la evidencia original, junto con su huella criptográfica (SHA-256).</w:t>
      </w:r>
    </w:p>
    <w:p>
      <w:pPr>
        <w:pStyle w:val="ListBullet"/>
        <w:jc w:val="both"/>
      </w:pPr>
      <w:r>
        <w:t>La base de datos de la cadena de custodia digital completa del caso.</w:t>
      </w:r>
    </w:p>
    <w:p>
      <w:pPr>
        <w:pStyle w:val="ListBullet"/>
        <w:jc w:val="both"/>
      </w:pPr>
      <w:r>
        <w:t>El fichero de modelo certificado (con su manifest de versión y hash) utilizado en el análisis.</w:t>
      </w:r>
    </w:p>
    <w:p>
      <w:pPr>
        <w:pStyle w:val="ListBullet"/>
        <w:jc w:val="both"/>
      </w:pPr>
      <w:r>
        <w:t>El presente informe pericial, en su versión final firmada.</w:t>
      </w:r>
    </w:p>
    <w:p>
      <w:pPr>
        <w:jc w:val="both"/>
      </w:pPr>
      <w:r>
        <w:t>Duración mínima de conservación recomendada: 5 años, conforme a estándares internacionales de referencia.</w:t>
      </w:r>
    </w:p>
    <w:p>
      <w:r>
        <w:br w:type="page"/>
      </w:r>
    </w:p>
    <w:p>
      <w:pPr>
        <w:pStyle w:val="Heading1"/>
      </w:pPr>
      <w:r>
        <w:t>Declaración de Objetividad</w:t>
      </w:r>
    </w:p>
    <w:p>
      <w:pPr>
        <w:jc w:val="both"/>
      </w:pPr>
      <w:r>
        <w:t>El abajo firmante, José Luis Vela, declara:</w:t>
      </w:r>
    </w:p>
    <w:p>
      <w:pPr>
        <w:pStyle w:val="ListBullet"/>
        <w:jc w:val="both"/>
      </w:pPr>
      <w:r>
        <w:t>Que ha actuado con objetividad, imparcialidad y rigor técnico en la elaboración del presente informe.</w:t>
      </w:r>
    </w:p>
    <w:p>
      <w:pPr>
        <w:pStyle w:val="ListBullet"/>
        <w:jc w:val="both"/>
      </w:pPr>
      <w:r>
        <w:t>Que no mantiene relación personal ni profesional con las partes implicadas.</w:t>
      </w:r>
    </w:p>
    <w:p>
      <w:pPr>
        <w:pStyle w:val="ListBullet"/>
        <w:jc w:val="both"/>
      </w:pPr>
      <w:r>
        <w:t>Que el informe se ha elaborado siguiendo criterios técnicos y científicos reconocidos.</w:t>
      </w:r>
    </w:p>
    <w:p>
      <w:pPr>
        <w:pStyle w:val="Heading1"/>
      </w:pPr>
      <w:r>
        <w:t>Declaración de Independencia</w:t>
      </w:r>
    </w:p>
    <w:p>
      <w:pPr>
        <w:jc w:val="both"/>
      </w:pPr>
      <w:r>
        <w:t>El perito certifica:</w:t>
      </w:r>
    </w:p>
    <w:p>
      <w:pPr>
        <w:pStyle w:val="ListBullet"/>
        <w:jc w:val="both"/>
      </w:pPr>
      <w:r>
        <w:t>No encontrarse en causa de recusación.</w:t>
      </w:r>
    </w:p>
    <w:p>
      <w:pPr>
        <w:pStyle w:val="ListBullet"/>
        <w:jc w:val="both"/>
      </w:pPr>
      <w:r>
        <w:t>No haber recibido instrucción alguna que comprometa la neutralidad del análisis.</w:t>
      </w:r>
    </w:p>
    <w:p>
      <w:pPr>
        <w:pStyle w:val="ListBullet"/>
        <w:jc w:val="both"/>
      </w:pPr>
      <w:r>
        <w:t>Mantener independencia absoluta en las conclusiones alcanzadas.</w:t>
      </w:r>
    </w:p>
    <w:p>
      <w:pPr>
        <w:pStyle w:val="Heading1"/>
      </w:pPr>
      <w:r>
        <w:t>Posibilidad de Ratificación</w:t>
      </w:r>
    </w:p>
    <w:p>
      <w:pPr>
        <w:jc w:val="both"/>
      </w:pPr>
      <w:r>
        <w:t>El perito queda a disposición de la autoridad judicial para:</w:t>
      </w:r>
    </w:p>
    <w:p>
      <w:pPr>
        <w:pStyle w:val="ListBullet"/>
        <w:jc w:val="both"/>
      </w:pPr>
      <w:r>
        <w:t>Ratificación presencial o telemática del presente informe.</w:t>
      </w:r>
    </w:p>
    <w:p>
      <w:pPr>
        <w:pStyle w:val="ListBullet"/>
        <w:jc w:val="both"/>
      </w:pPr>
      <w:r>
        <w:t>Aclaración técnica de cualquier extremo del análisis.</w:t>
      </w:r>
    </w:p>
    <w:p>
      <w:pPr>
        <w:pStyle w:val="ListBullet"/>
        <w:jc w:val="both"/>
      </w:pPr>
      <w:r>
        <w:t>Exhibición del material complementario (cadena de custodia completa, modelo certificado, código fuente del sistema).</w:t>
      </w:r>
    </w:p>
    <w:p/>
    <w:p/>
    <w:p>
      <w:pPr>
        <w:jc w:val="both"/>
      </w:pPr>
      <w:r>
        <w:rPr>
          <w:b/>
        </w:rPr>
        <w:t>Firma del perito:</w:t>
      </w:r>
    </w:p>
    <w:p/>
    <w:p>
      <w:pPr>
        <w:jc w:val="both"/>
      </w:pPr>
      <w:r>
        <w:t>José Luis Vela</w:t>
      </w:r>
    </w:p>
    <w:p>
      <w:pPr>
        <w:jc w:val="both"/>
      </w:pPr>
      <w:r>
        <w:t>Analista forense en ciberseguridad</w:t>
      </w:r>
    </w:p>
    <w:p>
      <w:pPr>
        <w:jc w:val="both"/>
      </w:pPr>
      <w:r>
        <w:t xml:space="preserve">Colegiado n.º </w:t>
      </w:r>
    </w:p>
    <w:sectPr w:rsidR="00FC693F" w:rsidRPr="0006063C" w:rsidSect="00034616">
      <w:footerReference w:type="default" r:id="rId9"/>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rPr>
      <w:t xml:space="preserve">Ref.: MODEXRE/CASO-2026-014 — Folio </w:t>
    </w:r>
    <w:r>
      <w:fldChar w:fldCharType="begin"/>
      <w:instrText xml:space="preserve">PAGE</w:instrText>
      <w:fldChar w:fldCharType="separate"/>
      <w:fldChar w:fldCharType="end"/>
    </w:r>
    <w:r>
      <w:t xml:space="preserve"> de </w:t>
    </w:r>
    <w:r>
      <w:fldChar w:fldCharType="begin"/>
      <w:instrText xml:space="preserve">NUMPAGES</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F5496"/>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496"/>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F5496"/>
      <w:sz w:val="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2F5496"/>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