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23/10/2023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23/10/2023, 15:57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LAS ADQUISICIONES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 nuestro Plan de Gestión de las Adquisiciones para este proyecto es establecer una estrategia y un enfoque claro para adquirir los recursos y servicios necesarios para el proyecto. Este plan es un componente fundamental del conjunto de planes de gestión del proyecto y se centra en cómo se adquirirán, comprarán o contratarán los recursos, productos o servicios externos que se requieran para llevar a cabo el desarrollo de nuestro producto “SkillSetGo” de manera exitosa.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 PARA LAS ADQUISICIONES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El director del proyecto y el patrocinador tienen la autoridad final sobre las adquisiciones.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DE ADQUISICIONES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Definir la estrategia general de adquisiciones, asegurando que esté alineada con los objetivos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Autorizar la selección de proveedores y la firma de contratos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Supervisar y evaluar la ejecución de todas las adquisiciones en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Tomar decisiones clave en situaciones críticas relacionadas con las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Identificar las necesidades específicas de adquisiciones para el proyecto, en colaboración con el equipo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un plan detallado para cada adquisición, incluyendo la documentación de requisitos y especificaciones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Realizar el proceso de selección de proveedores, evaluando ofertas y propuestas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Negociar y redactar contratos con los proveedores seleccionados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ESTÁNDARES PARA LAS ADQUISICIONES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Solicitud de Propuesta (Request for proposal – RFP)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Solicitud de Presupuesto (Request for Quotation – RFQ)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Solicitud de Información sobre las capacidades de los proveedores (Request for information – RFI)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 ESTÁNDARES PARA LAS ADQUISICIONES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de adquisiciones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 proveedores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Contratación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 del contrato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del contrato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CONTRATOS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Contrato de Adquisición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Contrato de Servicios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Contrato de Arrendamiento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FIANZAS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 debe indicar para todos tipos de adquisiciones: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Tipo de fianza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Monto de la fianza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Proveedor de la fianza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Condiciones de pago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Circunstancias de renovación o cancelación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Aprobación del director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SELECCIÓN</w:t>
      </w:r>
    </w:p>
    <w:tbl>
      <w:tblPr>
        <w:tblStyle w:val="Table10"/>
        <w:tblW w:w="1096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45"/>
        <w:gridCol w:w="1920"/>
        <w:tblGridChange w:id="0">
          <w:tblGrid>
            <w:gridCol w:w="90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PONDERACIÓN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Calidad del producto o servicio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Experiencia y antecedentes del proveedor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Tiempo hasta la entrega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Capacidad Técnica del proveedor para cumplir con los requisitos de nuestro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PARA LAS ADQUISICIONES</w:t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 de Fondos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Aprobaciones Reglamentarias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 de Proveedores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Alineación con Objetivos del Proyecto</w:t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PARA LAS ADQUISICIONES</w:t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Presupuesto Limitado: Cada gasto debe ser examinado y considerado en detalle.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Plazos de Entrega Críticos: Los proveedores deben poder prestar el servicio cuando lo necesitemos.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Técnicos Específicos: Las compras deben ajustarse a las características técnicas de nuestro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Calidad: Las compras deben cumplir los requisitos de calidad de nuestro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INTEGRACIÓN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8"/>
        <w:gridCol w:w="8132"/>
        <w:tblGridChange w:id="0">
          <w:tblGrid>
            <w:gridCol w:w="2808"/>
            <w:gridCol w:w="81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Definir cómo la adquisición de recursos o productos se alinea con los paquetes de trabajo definidos en la EDT del proyecto.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Establecer un calendario para las actividades de adquisición y su relación con el cronograma general del proyecto, eso implica relacionar adquisiciones con hitos claves del cronograma.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Comprobar si las adquisiciones dan lugar a cambios necesarios en otros documentos.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riesgos asociados a las adquisiciones, como retrasos en la entrega o incumplimiento de contratos, y establecer el efecto sobre el plan de gestión de riesgos.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DE DESEMPEÑO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Definir qué informes o métricas se utilizarán para evaluar el desempeño de las adquisiciones.</w:t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DESEMPEÑO</w:t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8"/>
        <w:gridCol w:w="8132"/>
        <w:tblGridChange w:id="0">
          <w:tblGrid>
            <w:gridCol w:w="2808"/>
            <w:gridCol w:w="81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O DOMINIO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Costes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Costo real vs presupuesto: Comparar los costos reales de adquisición con el presupuesto inicial para evaluar si se están gestionando eficazmente los recursos financieros.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Tiempo de ciclo de adquisición: Medir el tiempo que lleva desde la identificación de la necesidad hasta la adquisición y entrega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Valor aportado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Comprobar semanalmente si la compra sigue aportando valor añadido al proyecto.</w:t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Y AUDITORÍAS DE LAS ADQUISICIONES</w:t>
      </w:r>
    </w:p>
    <w:tbl>
      <w:tblPr>
        <w:tblStyle w:val="Table1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Monitoreo Continuo: para asegurarse de que se estén cumpliendo los plazos, requisitos y costes establecidos en los contratos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Comunicación con Proveedores: mantener una comunicación regular con los proveedores para abordar problemas y garantizar que ambas partes cumplan con los términos del contrato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CIERRE DE LAS ADQUISICIONES</w:t>
      </w:r>
    </w:p>
    <w:tbl>
      <w:tblPr>
        <w:tblStyle w:val="Table1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Verificación del trabajo realizado o materiales obtenidos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Cierre de contratos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althazar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2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Standard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Listenabsatz">
    <w:name w:val="List Paragraph"/>
    <w:basedOn w:val="Standard"/>
    <w:uiPriority w:val="34"/>
    <w:qFormat w:val="1"/>
    <w:rsid w:val="007B5C94"/>
    <w:pPr>
      <w:ind w:left="720"/>
      <w:contextualSpacing w:val="1"/>
    </w:pPr>
  </w:style>
  <w:style w:type="character" w:styleId="Fett">
    <w:name w:val="Strong"/>
    <w:basedOn w:val="Absatz-Standardschriftart"/>
    <w:uiPriority w:val="22"/>
    <w:qFormat w:val="1"/>
    <w:rsid w:val="000C13D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pZkN03UQqaq6PCnPDTIWp00wqA==">AMUW2mUJ3MGLerYzG/RcqVQP6acY68/AObMyFpAM02gy8C10LZiupyAkPcZE1lPUdtyNhFkPuaOcONA+g/hgsUE5sNnJKxI7NO8xVuz50ppI7ecdWWM8fWw=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