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SkillSetGo</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G1.06</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05/11/2023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spacing w:before="120" w:lineRule="auto"/>
              <w:rPr/>
            </w:pPr>
            <w:r w:rsidDel="00000000" w:rsidR="00000000" w:rsidRPr="00000000">
              <w:rPr>
                <w:rtl w:val="0"/>
              </w:rPr>
              <w:t xml:space="preserve">05/11/2023</w:t>
            </w:r>
          </w:p>
        </w:tc>
        <w:tc>
          <w:tcPr/>
          <w:p w:rsidR="00000000" w:rsidDel="00000000" w:rsidP="00000000" w:rsidRDefault="00000000" w:rsidRPr="00000000" w14:paraId="00000014">
            <w:pPr>
              <w:rPr/>
            </w:pPr>
            <w:r w:rsidDel="00000000" w:rsidR="00000000" w:rsidRPr="00000000">
              <w:rPr>
                <w:rtl w:val="0"/>
              </w:rPr>
              <w:t xml:space="preserve">v1</w:t>
            </w:r>
          </w:p>
        </w:tc>
        <w:tc>
          <w:tcPr/>
          <w:p w:rsidR="00000000" w:rsidDel="00000000" w:rsidP="00000000" w:rsidRDefault="00000000" w:rsidRPr="00000000" w14:paraId="00000015">
            <w:pPr>
              <w:rPr/>
            </w:pPr>
            <w:r w:rsidDel="00000000" w:rsidR="00000000" w:rsidRPr="00000000">
              <w:rPr>
                <w:rtl w:val="0"/>
              </w:rPr>
              <w:t xml:space="preserve">versión inicial</w:t>
            </w:r>
          </w:p>
        </w:tc>
        <w:tc>
          <w:tcPr/>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COSTES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En este documento se indica cómo se gestionan los costes del proyecto dejando claro:</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Los diferentes niveles que se consideran dependiendo de la exactitud al momento de la estimación con la realidad.</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Las distintas reglas que se tendrán en cuenta a la hora de medir el desempeño del costo.</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Los distintos informes de costes y su formato</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Como se lleva a cabo la gestión de los costes a través de los procesos de estimación de los costes, desarrollo de presupuesto, su actualización, control y seguimiento. </w:t>
            </w:r>
            <w:r w:rsidDel="00000000" w:rsidR="00000000" w:rsidRPr="00000000">
              <w:rPr>
                <w:rtl w:val="0"/>
              </w:rPr>
            </w:r>
          </w:p>
        </w:tc>
      </w:tr>
    </w:tbl>
    <w:p w:rsidR="00000000" w:rsidDel="00000000" w:rsidP="00000000" w:rsidRDefault="00000000" w:rsidRPr="00000000" w14:paraId="00000026">
      <w:pPr>
        <w:spacing w:after="0" w:lineRule="auto"/>
        <w:jc w:val="both"/>
        <w:rPr/>
      </w:pP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27">
            <w:pPr>
              <w:jc w:val="center"/>
              <w:rPr>
                <w:b w:val="1"/>
              </w:rPr>
            </w:pPr>
            <w:r w:rsidDel="00000000" w:rsidR="00000000" w:rsidRPr="00000000">
              <w:rPr>
                <w:b w:val="1"/>
                <w:rtl w:val="0"/>
              </w:rPr>
              <w:t xml:space="preserve">NIVEL DE EXACTITUD</w:t>
            </w:r>
          </w:p>
        </w:tc>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UNIDADES DE MEDIDA</w:t>
            </w:r>
          </w:p>
        </w:tc>
        <w:tc>
          <w:tcPr>
            <w:shd w:fill="d9d9d9" w:val="clear"/>
          </w:tcPr>
          <w:p w:rsidR="00000000" w:rsidDel="00000000" w:rsidP="00000000" w:rsidRDefault="00000000" w:rsidRPr="00000000" w14:paraId="00000029">
            <w:pPr>
              <w:jc w:val="center"/>
              <w:rPr>
                <w:b w:val="1"/>
              </w:rPr>
            </w:pPr>
            <w:r w:rsidDel="00000000" w:rsidR="00000000" w:rsidRPr="00000000">
              <w:rPr>
                <w:b w:val="1"/>
                <w:rtl w:val="0"/>
              </w:rPr>
              <w:t xml:space="preserve">UMBRALES DE CONTROL</w:t>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Bajo</w:t>
            </w:r>
          </w:p>
        </w:tc>
        <w:tc>
          <w:tcPr/>
          <w:p w:rsidR="00000000" w:rsidDel="00000000" w:rsidP="00000000" w:rsidRDefault="00000000" w:rsidRPr="00000000" w14:paraId="0000002B">
            <w:pPr>
              <w:jc w:val="both"/>
              <w:rPr/>
            </w:pPr>
            <w:r w:rsidDel="00000000" w:rsidR="00000000" w:rsidRPr="00000000">
              <w:rPr>
                <w:rtl w:val="0"/>
              </w:rPr>
              <w:t xml:space="preserve">Euros(</w:t>
            </w:r>
            <w:r w:rsidDel="00000000" w:rsidR="00000000" w:rsidRPr="00000000">
              <w:rPr>
                <w:rFonts w:ascii="Arial" w:cs="Arial" w:eastAsia="Arial" w:hAnsi="Arial"/>
                <w:color w:val="4d5156"/>
                <w:sz w:val="24"/>
                <w:szCs w:val="24"/>
                <w:highlight w:val="white"/>
                <w:rtl w:val="0"/>
              </w:rPr>
              <w:t xml:space="preserve">€</w:t>
            </w:r>
            <w:r w:rsidDel="00000000" w:rsidR="00000000" w:rsidRPr="00000000">
              <w:rPr>
                <w:rtl w:val="0"/>
              </w:rPr>
              <w:t xml:space="preserve">)</w:t>
            </w:r>
          </w:p>
        </w:tc>
        <w:tc>
          <w:tcPr/>
          <w:p w:rsidR="00000000" w:rsidDel="00000000" w:rsidP="00000000" w:rsidRDefault="00000000" w:rsidRPr="00000000" w14:paraId="0000002C">
            <w:pPr>
              <w:jc w:val="both"/>
              <w:rPr/>
            </w:pPr>
            <w:r w:rsidDel="00000000" w:rsidR="00000000" w:rsidRPr="00000000">
              <w:rPr>
                <w:rtl w:val="0"/>
              </w:rPr>
              <w:t xml:space="preserve">Aquellos costes que tengan un nivel de exactitud bajo serán aquellos que resultaron ser un 30% o superior del coste establecido en un principio. También serán de este nivel los costes que resultan ser un 30% , o superior, menor del coste inicial.</w:t>
            </w:r>
          </w:p>
        </w:tc>
      </w:tr>
      <w:tr>
        <w:trPr>
          <w:cantSplit w:val="0"/>
          <w:tblHeader w:val="0"/>
        </w:trPr>
        <w:tc>
          <w:tcPr/>
          <w:p w:rsidR="00000000" w:rsidDel="00000000" w:rsidP="00000000" w:rsidRDefault="00000000" w:rsidRPr="00000000" w14:paraId="0000002D">
            <w:pPr>
              <w:jc w:val="both"/>
              <w:rPr/>
            </w:pPr>
            <w:r w:rsidDel="00000000" w:rsidR="00000000" w:rsidRPr="00000000">
              <w:rPr>
                <w:rtl w:val="0"/>
              </w:rPr>
              <w:t xml:space="preserve">Medio</w:t>
            </w:r>
          </w:p>
        </w:tc>
        <w:tc>
          <w:tcPr/>
          <w:p w:rsidR="00000000" w:rsidDel="00000000" w:rsidP="00000000" w:rsidRDefault="00000000" w:rsidRPr="00000000" w14:paraId="0000002E">
            <w:pPr>
              <w:jc w:val="both"/>
              <w:rPr/>
            </w:pPr>
            <w:r w:rsidDel="00000000" w:rsidR="00000000" w:rsidRPr="00000000">
              <w:rPr>
                <w:rtl w:val="0"/>
              </w:rPr>
              <w:t xml:space="preserve">Euros(</w:t>
            </w:r>
            <w:r w:rsidDel="00000000" w:rsidR="00000000" w:rsidRPr="00000000">
              <w:rPr>
                <w:rFonts w:ascii="Arial" w:cs="Arial" w:eastAsia="Arial" w:hAnsi="Arial"/>
                <w:color w:val="4d5156"/>
                <w:sz w:val="24"/>
                <w:szCs w:val="24"/>
                <w:highlight w:val="white"/>
                <w:rtl w:val="0"/>
              </w:rPr>
              <w:t xml:space="preserve">€</w:t>
            </w:r>
            <w:r w:rsidDel="00000000" w:rsidR="00000000" w:rsidRPr="00000000">
              <w:rPr>
                <w:rtl w:val="0"/>
              </w:rPr>
              <w:t xml:space="preserve">)</w:t>
            </w:r>
          </w:p>
        </w:tc>
        <w:tc>
          <w:tcPr/>
          <w:p w:rsidR="00000000" w:rsidDel="00000000" w:rsidP="00000000" w:rsidRDefault="00000000" w:rsidRPr="00000000" w14:paraId="0000002F">
            <w:pPr>
              <w:jc w:val="both"/>
              <w:rPr/>
            </w:pPr>
            <w:r w:rsidDel="00000000" w:rsidR="00000000" w:rsidRPr="00000000">
              <w:rPr>
                <w:rtl w:val="0"/>
              </w:rPr>
              <w:t xml:space="preserve">Aquellos costes que tengan un nivel de exactitud medio serán aquellos que resulten entre un 29% y un 10% o superior del coste establecido en un principio. También serán de este nivel los costes que resultan ser entre un 29% y un 10% , o superior, menor del coste inicial.</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Alto</w:t>
            </w:r>
          </w:p>
        </w:tc>
        <w:tc>
          <w:tcPr/>
          <w:p w:rsidR="00000000" w:rsidDel="00000000" w:rsidP="00000000" w:rsidRDefault="00000000" w:rsidRPr="00000000" w14:paraId="00000031">
            <w:pPr>
              <w:jc w:val="both"/>
              <w:rPr/>
            </w:pPr>
            <w:r w:rsidDel="00000000" w:rsidR="00000000" w:rsidRPr="00000000">
              <w:rPr>
                <w:rtl w:val="0"/>
              </w:rPr>
              <w:t xml:space="preserve">Euros(</w:t>
            </w:r>
            <w:r w:rsidDel="00000000" w:rsidR="00000000" w:rsidRPr="00000000">
              <w:rPr>
                <w:rFonts w:ascii="Arial" w:cs="Arial" w:eastAsia="Arial" w:hAnsi="Arial"/>
                <w:color w:val="4d5156"/>
                <w:sz w:val="24"/>
                <w:szCs w:val="24"/>
                <w:highlight w:val="white"/>
                <w:rtl w:val="0"/>
              </w:rPr>
              <w:t xml:space="preserve">€</w:t>
            </w:r>
            <w:r w:rsidDel="00000000" w:rsidR="00000000" w:rsidRPr="00000000">
              <w:rPr>
                <w:rtl w:val="0"/>
              </w:rPr>
              <w:t xml:space="preserve">)</w:t>
            </w:r>
          </w:p>
        </w:tc>
        <w:tc>
          <w:tcPr/>
          <w:p w:rsidR="00000000" w:rsidDel="00000000" w:rsidP="00000000" w:rsidRDefault="00000000" w:rsidRPr="00000000" w14:paraId="00000032">
            <w:pPr>
              <w:jc w:val="both"/>
              <w:rPr/>
            </w:pPr>
            <w:r w:rsidDel="00000000" w:rsidR="00000000" w:rsidRPr="00000000">
              <w:rPr>
                <w:rtl w:val="0"/>
              </w:rPr>
              <w:t xml:space="preserve">Aquellos costes que tengan un nivel de exactitud alto serán aquellos que resulten entre un 9% y un 5% o superior del coste establecido en un principio. También serán de este nivel los costes que resultan ser entre un 9% y un 5% , o superior, menor del coste inicial.</w:t>
            </w:r>
          </w:p>
        </w:tc>
      </w:tr>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Exacto</w:t>
            </w:r>
          </w:p>
        </w:tc>
        <w:tc>
          <w:tcPr/>
          <w:p w:rsidR="00000000" w:rsidDel="00000000" w:rsidP="00000000" w:rsidRDefault="00000000" w:rsidRPr="00000000" w14:paraId="00000034">
            <w:pPr>
              <w:jc w:val="both"/>
              <w:rPr/>
            </w:pPr>
            <w:r w:rsidDel="00000000" w:rsidR="00000000" w:rsidRPr="00000000">
              <w:rPr>
                <w:rtl w:val="0"/>
              </w:rPr>
              <w:t xml:space="preserve">Euros(</w:t>
            </w:r>
            <w:r w:rsidDel="00000000" w:rsidR="00000000" w:rsidRPr="00000000">
              <w:rPr>
                <w:rFonts w:ascii="Arial" w:cs="Arial" w:eastAsia="Arial" w:hAnsi="Arial"/>
                <w:color w:val="4d5156"/>
                <w:sz w:val="24"/>
                <w:szCs w:val="24"/>
                <w:highlight w:val="white"/>
                <w:rtl w:val="0"/>
              </w:rPr>
              <w:t xml:space="preserve">€</w:t>
            </w:r>
            <w:r w:rsidDel="00000000" w:rsidR="00000000" w:rsidRPr="00000000">
              <w:rPr>
                <w:rtl w:val="0"/>
              </w:rPr>
              <w:t xml:space="preserve">)</w:t>
            </w:r>
          </w:p>
        </w:tc>
        <w:tc>
          <w:tcPr/>
          <w:p w:rsidR="00000000" w:rsidDel="00000000" w:rsidP="00000000" w:rsidRDefault="00000000" w:rsidRPr="00000000" w14:paraId="00000035">
            <w:pPr>
              <w:jc w:val="both"/>
              <w:rPr/>
            </w:pPr>
            <w:r w:rsidDel="00000000" w:rsidR="00000000" w:rsidRPr="00000000">
              <w:rPr>
                <w:rtl w:val="0"/>
              </w:rPr>
              <w:t xml:space="preserve">Aquellos costes que varían menos del 5% de su coste inicial se considerarán de nivel exacto.</w:t>
            </w:r>
          </w:p>
        </w:tc>
      </w:tr>
    </w:tbl>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hd w:fill="d9d9d9" w:val="clear"/>
        <w:spacing w:after="0" w:lineRule="auto"/>
        <w:jc w:val="both"/>
        <w:rPr>
          <w:b w:val="1"/>
        </w:rPr>
      </w:pPr>
      <w:r w:rsidDel="00000000" w:rsidR="00000000" w:rsidRPr="00000000">
        <w:rPr>
          <w:b w:val="1"/>
          <w:rtl w:val="0"/>
        </w:rPr>
        <w:t xml:space="preserve">REGLAS PARA LA MEDICIÓN DEL DESEMPEÑO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Para medir el desempeño de los costos de este proyecto se utilizarán tres reglas:</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Comparar el costo real con el costo estimado, de esta manera poder saber cómo avanza el proyecto respecto a las estimaciones iniciales.</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Comparar los costos con el valor ganado con estos, es decir, comparar el costo de las tareas con el ‘valor’ o porcentaje del proyecto completado.</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Controlar los costos fijos y variables, es decir, comprobar que los costos fijos son los estimados, mientras que los variables se mantienen dentro de los objetivos del proyecto.</w:t>
            </w:r>
          </w:p>
        </w:tc>
      </w:tr>
    </w:tbl>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hd w:fill="d9d9d9" w:val="clear"/>
        <w:spacing w:after="0" w:lineRule="auto"/>
        <w:jc w:val="both"/>
        <w:rPr>
          <w:b w:val="1"/>
        </w:rPr>
      </w:pPr>
      <w:r w:rsidDel="00000000" w:rsidR="00000000" w:rsidRPr="00000000">
        <w:rPr>
          <w:b w:val="1"/>
          <w:rtl w:val="0"/>
        </w:rPr>
        <w:t xml:space="preserve">INFORMES DE COSTES Y FORMATO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c>
      </w:tr>
    </w:tbl>
    <w:p w:rsidR="00000000" w:rsidDel="00000000" w:rsidP="00000000" w:rsidRDefault="00000000" w:rsidRPr="00000000" w14:paraId="00000046">
      <w:pPr>
        <w:spacing w:after="0" w:lineRule="auto"/>
        <w:jc w:val="both"/>
        <w:rPr>
          <w:b w:val="1"/>
        </w:rPr>
      </w:pPr>
      <w:r w:rsidDel="00000000" w:rsidR="00000000" w:rsidRPr="00000000">
        <w:rPr>
          <w:rtl w:val="0"/>
        </w:rPr>
      </w:r>
    </w:p>
    <w:p w:rsidR="00000000" w:rsidDel="00000000" w:rsidP="00000000" w:rsidRDefault="00000000" w:rsidRPr="00000000" w14:paraId="00000047">
      <w:pPr>
        <w:shd w:fill="d9d9d9" w:val="clear"/>
        <w:spacing w:after="0" w:lineRule="auto"/>
        <w:jc w:val="both"/>
        <w:rPr>
          <w:b w:val="1"/>
        </w:rPr>
      </w:pPr>
      <w:r w:rsidDel="00000000" w:rsidR="00000000" w:rsidRPr="00000000">
        <w:rPr>
          <w:b w:val="1"/>
          <w:rtl w:val="0"/>
        </w:rPr>
        <w:t xml:space="preserve">GESTIÓN DE LOS PROCESOS DE COSTES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shd w:fill="d9d9d9" w:val="clear"/>
          </w:tcPr>
          <w:p w:rsidR="00000000" w:rsidDel="00000000" w:rsidP="00000000" w:rsidRDefault="00000000" w:rsidRPr="00000000" w14:paraId="00000048">
            <w:pPr>
              <w:jc w:val="both"/>
              <w:rPr/>
            </w:pPr>
            <w:r w:rsidDel="00000000" w:rsidR="00000000" w:rsidRPr="00000000">
              <w:rPr>
                <w:rtl w:val="0"/>
              </w:rPr>
              <w:t xml:space="preserve">Estimación de los costes</w:t>
            </w:r>
          </w:p>
        </w:tc>
      </w:tr>
      <w:tr>
        <w:trPr>
          <w:cantSplit w:val="0"/>
          <w:tblHeader w:val="0"/>
        </w:trPr>
        <w:tc>
          <w:tcPr>
            <w:shd w:fill="ffffff" w:val="clear"/>
          </w:tcPr>
          <w:p w:rsidR="00000000" w:rsidDel="00000000" w:rsidP="00000000" w:rsidRDefault="00000000" w:rsidRPr="00000000" w14:paraId="00000049">
            <w:pPr>
              <w:jc w:val="both"/>
              <w:rPr/>
            </w:pPr>
            <w:r w:rsidDel="00000000" w:rsidR="00000000" w:rsidRPr="00000000">
              <w:rPr>
                <w:rtl w:val="0"/>
              </w:rPr>
              <w:t xml:space="preserve">Para la estimación de costes de tareas, paquetes, etc se analizará, observando en el cronograma cuánto tiempo será necesario para completarlo, consiguiendo el costo más probables, después se estimara un costo más optimista y un costo para el pero escenario, al final se utilizará el método PERT de estimación con una distribución beta quedando que la estimación de esa tarea sería el costo optimista junto el del peor escenario y el más probable multiplicado por cuatro y el resultado lo dividimos entre 6.</w:t>
            </w:r>
          </w:p>
        </w:tc>
      </w:tr>
      <w:tr>
        <w:trPr>
          <w:cantSplit w:val="0"/>
          <w:tblHeader w:val="0"/>
        </w:trPr>
        <w:tc>
          <w:tcPr>
            <w:shd w:fill="d9d9d9" w:val="clear"/>
          </w:tcPr>
          <w:p w:rsidR="00000000" w:rsidDel="00000000" w:rsidP="00000000" w:rsidRDefault="00000000" w:rsidRPr="00000000" w14:paraId="0000004A">
            <w:pPr>
              <w:jc w:val="both"/>
              <w:rPr/>
            </w:pPr>
            <w:r w:rsidDel="00000000" w:rsidR="00000000" w:rsidRPr="00000000">
              <w:rPr>
                <w:rtl w:val="0"/>
              </w:rPr>
              <w:t xml:space="preserve">Desarrollo del presupuesto</w:t>
            </w:r>
          </w:p>
        </w:tc>
      </w:tr>
      <w:tr>
        <w:trPr>
          <w:cantSplit w:val="0"/>
          <w:tblHeader w:val="0"/>
        </w:trPr>
        <w:tc>
          <w:tcPr>
            <w:shd w:fill="ffffff" w:val="clear"/>
          </w:tcPr>
          <w:p w:rsidR="00000000" w:rsidDel="00000000" w:rsidP="00000000" w:rsidRDefault="00000000" w:rsidRPr="00000000" w14:paraId="0000004B">
            <w:pPr>
              <w:jc w:val="both"/>
              <w:rPr/>
            </w:pPr>
            <w:r w:rsidDel="00000000" w:rsidR="00000000" w:rsidRPr="00000000">
              <w:rPr>
                <w:rtl w:val="0"/>
              </w:rPr>
              <w:t xml:space="preserve">El presupuesto se divide en tres categorías:</w:t>
            </w:r>
          </w:p>
          <w:p w:rsidR="00000000" w:rsidDel="00000000" w:rsidP="00000000" w:rsidRDefault="00000000" w:rsidRPr="00000000" w14:paraId="0000004C">
            <w:pPr>
              <w:jc w:val="both"/>
              <w:rPr/>
            </w:pPr>
            <w:r w:rsidDel="00000000" w:rsidR="00000000" w:rsidRPr="00000000">
              <w:rPr>
                <w:rtl w:val="0"/>
              </w:rPr>
              <w:t xml:space="preserve">(Si se tiene en cuenta este presupuesto tenemos que ponerlo en el acta de constitución)</w:t>
            </w:r>
          </w:p>
          <w:p w:rsidR="00000000" w:rsidDel="00000000" w:rsidP="00000000" w:rsidRDefault="00000000" w:rsidRPr="00000000" w14:paraId="0000004D">
            <w:pPr>
              <w:jc w:val="both"/>
              <w:rPr/>
            </w:pPr>
            <w:r w:rsidDel="00000000" w:rsidR="00000000" w:rsidRPr="00000000">
              <w:rPr>
                <w:rtl w:val="0"/>
              </w:rPr>
              <w:t xml:space="preserve">-Costes de instalaciones(Estos en nuestro caso creo que podríamos quitarlo o ponerlo como un plus para los trabajadores al estar teletrabajando y gastando recursos en su casas)</w:t>
            </w:r>
          </w:p>
          <w:p w:rsidR="00000000" w:rsidDel="00000000" w:rsidP="00000000" w:rsidRDefault="00000000" w:rsidRPr="00000000" w14:paraId="0000004E">
            <w:pPr>
              <w:jc w:val="both"/>
              <w:rPr/>
            </w:pPr>
            <w:r w:rsidDel="00000000" w:rsidR="00000000" w:rsidRPr="00000000">
              <w:rPr>
                <w:rtl w:val="0"/>
              </w:rPr>
              <w:t xml:space="preserve">-Costes de personal:</w:t>
            </w:r>
          </w:p>
          <w:p w:rsidR="00000000" w:rsidDel="00000000" w:rsidP="00000000" w:rsidRDefault="00000000" w:rsidRPr="00000000" w14:paraId="0000004F">
            <w:pPr>
              <w:jc w:val="both"/>
              <w:rPr/>
            </w:pPr>
            <w:r w:rsidDel="00000000" w:rsidR="00000000" w:rsidRPr="00000000">
              <w:rPr>
                <w:rtl w:val="0"/>
              </w:rPr>
              <w:t xml:space="preserve">    -Directivos: </w:t>
            </w:r>
          </w:p>
          <w:p w:rsidR="00000000" w:rsidDel="00000000" w:rsidP="00000000" w:rsidRDefault="00000000" w:rsidRPr="00000000" w14:paraId="00000050">
            <w:pPr>
              <w:jc w:val="both"/>
              <w:rPr/>
            </w:pPr>
            <w:r w:rsidDel="00000000" w:rsidR="00000000" w:rsidRPr="00000000">
              <w:rPr>
                <w:rtl w:val="0"/>
              </w:rPr>
              <w:t xml:space="preserve">    -Desarrolladores: </w:t>
            </w:r>
          </w:p>
          <w:p w:rsidR="00000000" w:rsidDel="00000000" w:rsidP="00000000" w:rsidRDefault="00000000" w:rsidRPr="00000000" w14:paraId="00000051">
            <w:pPr>
              <w:jc w:val="both"/>
              <w:rPr/>
            </w:pPr>
            <w:r w:rsidDel="00000000" w:rsidR="00000000" w:rsidRPr="00000000">
              <w:rPr>
                <w:rtl w:val="0"/>
              </w:rPr>
              <w:t xml:space="preserve">-Costes de equipo y software:</w:t>
            </w:r>
          </w:p>
          <w:p w:rsidR="00000000" w:rsidDel="00000000" w:rsidP="00000000" w:rsidRDefault="00000000" w:rsidRPr="00000000" w14:paraId="00000052">
            <w:pPr>
              <w:jc w:val="both"/>
              <w:rPr/>
            </w:pPr>
            <w:r w:rsidDel="00000000" w:rsidR="00000000" w:rsidRPr="00000000">
              <w:rPr>
                <w:rtl w:val="0"/>
              </w:rPr>
              <w:t xml:space="preserve">    -Dispositivos hardware:</w:t>
            </w:r>
          </w:p>
          <w:p w:rsidR="00000000" w:rsidDel="00000000" w:rsidP="00000000" w:rsidRDefault="00000000" w:rsidRPr="00000000" w14:paraId="00000053">
            <w:pPr>
              <w:jc w:val="both"/>
              <w:rPr/>
            </w:pPr>
            <w:r w:rsidDel="00000000" w:rsidR="00000000" w:rsidRPr="00000000">
              <w:rPr>
                <w:rtl w:val="0"/>
              </w:rPr>
              <w:t xml:space="preserve">    -Dispositivos software:</w:t>
            </w:r>
          </w:p>
        </w:tc>
      </w:tr>
      <w:tr>
        <w:trPr>
          <w:cantSplit w:val="0"/>
          <w:tblHeader w:val="0"/>
        </w:trPr>
        <w:tc>
          <w:tcPr>
            <w:shd w:fill="d9d9d9" w:val="clear"/>
          </w:tcPr>
          <w:p w:rsidR="00000000" w:rsidDel="00000000" w:rsidP="00000000" w:rsidRDefault="00000000" w:rsidRPr="00000000" w14:paraId="00000054">
            <w:pPr>
              <w:jc w:val="both"/>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tc>
      </w:tr>
    </w:tbl>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D">
      <w:pPr>
        <w:spacing w:after="0" w:lineRule="auto"/>
        <w:rPr/>
      </w:pPr>
      <w:r w:rsidDel="00000000" w:rsidR="00000000" w:rsidRPr="00000000">
        <w:rPr>
          <w:rtl w:val="0"/>
        </w:rPr>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2">
            <w:pPr>
              <w:spacing w:after="120" w:before="120" w:lineRule="auto"/>
              <w:rPr/>
            </w:pPr>
            <w:r w:rsidDel="00000000" w:rsidR="00000000" w:rsidRPr="00000000">
              <w:rPr>
                <w:rtl w:val="0"/>
              </w:rPr>
            </w:r>
          </w:p>
        </w:tc>
        <w:tc>
          <w:tcPr/>
          <w:p w:rsidR="00000000" w:rsidDel="00000000" w:rsidP="00000000" w:rsidRDefault="00000000" w:rsidRPr="00000000" w14:paraId="00000063">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4">
            <w:pPr>
              <w:spacing w:after="120" w:before="120" w:lineRule="auto"/>
              <w:rPr/>
            </w:pPr>
            <w:r w:rsidDel="00000000" w:rsidR="00000000" w:rsidRPr="00000000">
              <w:rPr>
                <w:rtl w:val="0"/>
              </w:rPr>
            </w:r>
          </w:p>
        </w:tc>
        <w:tc>
          <w:tcPr/>
          <w:p w:rsidR="00000000" w:rsidDel="00000000" w:rsidP="00000000" w:rsidRDefault="00000000" w:rsidRPr="00000000" w14:paraId="0000006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after="120" w:before="120" w:lineRule="auto"/>
              <w:rPr/>
            </w:pPr>
            <w:r w:rsidDel="00000000" w:rsidR="00000000" w:rsidRPr="00000000">
              <w:rPr>
                <w:rtl w:val="0"/>
              </w:rPr>
            </w:r>
          </w:p>
        </w:tc>
        <w:tc>
          <w:tcPr/>
          <w:p w:rsidR="00000000" w:rsidDel="00000000" w:rsidP="00000000" w:rsidRDefault="00000000" w:rsidRPr="00000000" w14:paraId="00000067">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8">
            <w:pPr>
              <w:spacing w:after="120" w:before="120" w:lineRule="auto"/>
              <w:rPr/>
            </w:pPr>
            <w:r w:rsidDel="00000000" w:rsidR="00000000" w:rsidRPr="00000000">
              <w:rPr>
                <w:rtl w:val="0"/>
              </w:rPr>
            </w:r>
          </w:p>
        </w:tc>
        <w:tc>
          <w:tcPr/>
          <w:p w:rsidR="00000000" w:rsidDel="00000000" w:rsidP="00000000" w:rsidRDefault="00000000" w:rsidRPr="00000000" w14:paraId="00000069">
            <w:pPr>
              <w:spacing w:after="120" w:before="120" w:lineRule="auto"/>
              <w:rPr/>
            </w:pPr>
            <w:r w:rsidDel="00000000" w:rsidR="00000000" w:rsidRPr="00000000">
              <w:rPr>
                <w:rtl w:val="0"/>
              </w:rPr>
            </w:r>
          </w:p>
        </w:tc>
      </w:tr>
    </w:tbl>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kSemm4WbsDJX0U+IQWAj3257sQ==">AMUW2mVCiwEUbBOomEec1RRRxeZtxsvAc91f0IgDFmF4sPO7bo5SEJfckJ7eNLyeJ6YiOgsExdsXWmEhiQseaY8zwuOr94euTF7vrLil7oLSzFA3UajYtKA=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