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4680"/>
        <w:gridCol w:w="2430"/>
        <w:gridCol w:w="2282"/>
        <w:tblGridChange w:id="0">
          <w:tblGrid>
            <w:gridCol w:w="1548"/>
            <w:gridCol w:w="4680"/>
            <w:gridCol w:w="2430"/>
            <w:gridCol w:w="22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Solicitud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Respuesta Esperada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20/11/2023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la actividad de formación del equipo de desarrollo para el uso del framework Django.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horas de formación del equipo no quedaron registradas en un principio en la planificación, esto provoca un desajuste en los costos y las horas.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EL ALCANCE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procede(creo no se si lo del tiempo que tarde influye en el alcance)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316"/>
        <w:gridCol w:w="1554"/>
        <w:gridCol w:w="2822"/>
        <w:tblGridChange w:id="0">
          <w:tblGrid>
            <w:gridCol w:w="4248"/>
            <w:gridCol w:w="2316"/>
            <w:gridCol w:w="1554"/>
            <w:gridCol w:w="282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LOS ENTREGABLES, EL CRONOGRAMA Y LOS COSTES DEL PROYECTO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 / PRODUCTO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ACTUALIZADA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NETO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/ (Reducción)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horas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528.85€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horas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528.85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NUEVA FECHA DE FINALIZACIÓN DEL</w:t>
            </w: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7/12/23</w:t>
            </w:r>
          </w:p>
        </w:tc>
        <w:tc>
          <w:tcPr>
            <w:tcBorders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NO APROBAR ESTE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QUE ESTE CAMBIO IMPLICA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Alto, falsa estimación de costes y horas.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del coste y las horas anteriores.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SER COMPLETADO POR EL COMITÉ DE CONTROL DE CAMBIOS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8"/>
        <w:gridCol w:w="277"/>
        <w:gridCol w:w="1260"/>
        <w:gridCol w:w="277"/>
        <w:gridCol w:w="1800"/>
        <w:gridCol w:w="6152"/>
        <w:tblGridChange w:id="0">
          <w:tblGrid>
            <w:gridCol w:w="1188"/>
            <w:gridCol w:w="277"/>
            <w:gridCol w:w="1260"/>
            <w:gridCol w:w="277"/>
            <w:gridCol w:w="1800"/>
            <w:gridCol w:w="615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POSPUESTO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&lt;fecha&gt;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3960"/>
        <w:gridCol w:w="810"/>
        <w:gridCol w:w="4622"/>
        <w:tblGridChange w:id="0">
          <w:tblGrid>
            <w:gridCol w:w="1548"/>
            <w:gridCol w:w="3960"/>
            <w:gridCol w:w="810"/>
            <w:gridCol w:w="46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García Hernández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Joaquín Restoy Barrero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SOLICITUD DE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/s4Shz6rHlJRAK13B0xzUoGFQg==">CgMxLjA4AHIhMXFqWjZrdGxWUEN2bUFWLW9tWEJRYXM3ZXAxUURpV3hm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