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5"/>
        <w:gridCol w:w="3630"/>
        <w:gridCol w:w="2505"/>
        <w:gridCol w:w="1665"/>
        <w:gridCol w:w="2325"/>
        <w:gridCol w:w="2430"/>
        <w:tblGridChange w:id="0">
          <w:tblGrid>
            <w:gridCol w:w="1995"/>
            <w:gridCol w:w="3630"/>
            <w:gridCol w:w="2505"/>
            <w:gridCol w:w="1665"/>
            <w:gridCol w:w="2325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SkillSetGo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G1.06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04/12/2023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9660"/>
        <w:gridCol w:w="2670"/>
        <w:gridCol w:w="1410"/>
        <w:tblGridChange w:id="0">
          <w:tblGrid>
            <w:gridCol w:w="810"/>
            <w:gridCol w:w="9660"/>
            <w:gridCol w:w="2670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DECISIÓN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PERSONA RESPONSABLE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before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estará dividida en dos apps, shop y account.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directivo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estructura estará organizada en 4 partes, listado de clases, detalle de clases, carrito y pedido.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directivo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before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añade una nueva app a la aplicación (payment)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02/12/2023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utilizará Stripe como pasarela de pago.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usará gmail para enviar los correos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01/12/2023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dará un código por pedido en lugar de por producto siendo este código válido para los productos comprados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02/12/2023</w:t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DECISIONES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SPqBkrANzNnpxIjLsd1hOgzz9Q==">CgMxLjA4AHIhMTVNUFpybkpkQ0J3NWNSaDhsOUdGcWFabkZfS005a3BK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