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3C0C9972" w:rsidR="00703CBC" w:rsidRDefault="00F415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  <w:r w:rsidR="00B7100B">
        <w:rPr>
          <w:rFonts w:eastAsia="Times New Roman" w:cs="Arial"/>
          <w:b/>
          <w:color w:val="000000"/>
          <w:sz w:val="48"/>
          <w:szCs w:val="48"/>
          <w:lang w:eastAsia="es-VE"/>
        </w:rPr>
        <w:t>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86F5AEA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1279A80A" w:rsidR="00653D35" w:rsidRDefault="00B94149">
      <w:pPr>
        <w:pStyle w:val="TD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DE38A5">
        <w:rPr>
          <w:noProof/>
        </w:rPr>
        <w:t>2</w:t>
      </w:r>
    </w:p>
    <w:p w14:paraId="31EF0776" w14:textId="767D4461" w:rsidR="00A17130" w:rsidRPr="00A17130" w:rsidRDefault="00E71B22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Reglas para la medición del rendimiento……………………………………</w:t>
      </w:r>
      <w:proofErr w:type="gramStart"/>
      <w:r>
        <w:rPr>
          <w:b w:val="0"/>
          <w:bCs w:val="0"/>
          <w:color w:val="000000" w:themeColor="text1"/>
          <w:sz w:val="24"/>
          <w:szCs w:val="24"/>
        </w:rPr>
        <w:t>…….</w:t>
      </w:r>
      <w:proofErr w:type="gramEnd"/>
      <w:r>
        <w:rPr>
          <w:b w:val="0"/>
          <w:bCs w:val="0"/>
          <w:color w:val="000000" w:themeColor="text1"/>
          <w:sz w:val="24"/>
          <w:szCs w:val="24"/>
        </w:rPr>
        <w:t>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>
        <w:rPr>
          <w:b w:val="0"/>
          <w:bCs w:val="0"/>
          <w:color w:val="000000" w:themeColor="text1"/>
          <w:sz w:val="24"/>
          <w:szCs w:val="24"/>
        </w:rPr>
        <w:t>4</w:t>
      </w:r>
    </w:p>
    <w:p w14:paraId="562DB113" w14:textId="7836518D" w:rsidR="00A17130" w:rsidRPr="00A17130" w:rsidRDefault="00E71B22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Informe de costes y formato</w:t>
      </w:r>
      <w:r w:rsidR="00A17130">
        <w:rPr>
          <w:b w:val="0"/>
          <w:bCs w:val="0"/>
          <w:color w:val="000000" w:themeColor="text1"/>
          <w:sz w:val="24"/>
          <w:szCs w:val="24"/>
        </w:rPr>
        <w:t>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 w:rsidR="00A17130">
        <w:rPr>
          <w:b w:val="0"/>
          <w:bCs w:val="0"/>
          <w:color w:val="000000" w:themeColor="text1"/>
          <w:sz w:val="24"/>
          <w:szCs w:val="24"/>
        </w:rPr>
        <w:t>……</w:t>
      </w:r>
      <w:r>
        <w:rPr>
          <w:b w:val="0"/>
          <w:bCs w:val="0"/>
          <w:color w:val="000000" w:themeColor="text1"/>
          <w:sz w:val="24"/>
          <w:szCs w:val="24"/>
        </w:rPr>
        <w:t>…..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……………………………………………….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0CF2EF33" w14:textId="1B885099" w:rsidR="00A17130" w:rsidRDefault="00E71B22" w:rsidP="00990137">
      <w:pPr>
        <w:pStyle w:val="Ttulo1"/>
        <w:ind w:right="-234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Gestión de procesos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</w:t>
      </w:r>
      <w:r>
        <w:rPr>
          <w:b w:val="0"/>
          <w:bCs w:val="0"/>
          <w:color w:val="000000" w:themeColor="text1"/>
          <w:sz w:val="24"/>
          <w:szCs w:val="24"/>
        </w:rPr>
        <w:t>……………………………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...</w:t>
      </w:r>
      <w:r>
        <w:rPr>
          <w:b w:val="0"/>
          <w:bCs w:val="0"/>
          <w:color w:val="000000" w:themeColor="text1"/>
          <w:sz w:val="24"/>
          <w:szCs w:val="24"/>
        </w:rPr>
        <w:t>…………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4A72BA9E" w14:textId="77777777" w:rsidR="00A17130" w:rsidRDefault="00A17130" w:rsidP="00030708">
      <w:pPr>
        <w:pStyle w:val="Ttulo1"/>
        <w:rPr>
          <w:rFonts w:cs="Arial"/>
          <w:szCs w:val="24"/>
        </w:rPr>
      </w:pPr>
    </w:p>
    <w:p w14:paraId="3A24A06A" w14:textId="12869F05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045422C" w:rsidR="0039185F" w:rsidRPr="00F7163A" w:rsidRDefault="00B7100B" w:rsidP="0080647C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Mª</w:t>
            </w:r>
            <w:proofErr w:type="spellEnd"/>
            <w:r>
              <w:t xml:space="preserve"> </w:t>
            </w:r>
            <w:r w:rsidR="00B869D7">
              <w:t>García</w:t>
            </w:r>
            <w:r>
              <w:t xml:space="preserve">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4F6A826" w:rsidR="0039185F" w:rsidRPr="00F7163A" w:rsidRDefault="00F415CD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1C05254" w:rsidR="00482348" w:rsidRDefault="00E165DA" w:rsidP="0080647C">
            <w:r>
              <w:t>Diego Jesús Díaz López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0772952E" w:rsidR="00482348" w:rsidRDefault="00E165DA" w:rsidP="0080647C">
            <w:r>
              <w:t>02/11/2022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3B0E7AB3" w14:textId="7E81934B" w:rsidR="005612BD" w:rsidRDefault="005612BD" w:rsidP="00FD7899">
      <w:pPr>
        <w:pStyle w:val="Ttulo1"/>
      </w:pPr>
    </w:p>
    <w:p w14:paraId="4BFCACD7" w14:textId="377F930A" w:rsidR="00B7100B" w:rsidRDefault="00B7100B" w:rsidP="00FD7899">
      <w:pPr>
        <w:pStyle w:val="Ttulo1"/>
      </w:pPr>
    </w:p>
    <w:p w14:paraId="3438C5CB" w14:textId="0108CA73" w:rsidR="00B7100B" w:rsidRDefault="00B7100B" w:rsidP="00FD7899">
      <w:pPr>
        <w:pStyle w:val="Ttulo1"/>
      </w:pPr>
    </w:p>
    <w:p w14:paraId="494B5F1D" w14:textId="6B8CC45C" w:rsidR="00B7100B" w:rsidRDefault="00B7100B" w:rsidP="00FD7899">
      <w:pPr>
        <w:pStyle w:val="Ttulo1"/>
      </w:pPr>
    </w:p>
    <w:p w14:paraId="1255E726" w14:textId="3040E5B1" w:rsidR="00B7100B" w:rsidRDefault="00B7100B" w:rsidP="00FD7899">
      <w:pPr>
        <w:pStyle w:val="Ttulo1"/>
      </w:pPr>
    </w:p>
    <w:p w14:paraId="44B8812E" w14:textId="75409F4B" w:rsidR="00990137" w:rsidRDefault="00990137" w:rsidP="00FD7899">
      <w:pPr>
        <w:pStyle w:val="Ttulo1"/>
      </w:pPr>
    </w:p>
    <w:p w14:paraId="4B2BFB6E" w14:textId="1433186A" w:rsidR="00990137" w:rsidRDefault="00990137" w:rsidP="00FD7899">
      <w:pPr>
        <w:pStyle w:val="Ttulo1"/>
      </w:pPr>
    </w:p>
    <w:p w14:paraId="073C539B" w14:textId="77777777" w:rsidR="00990137" w:rsidRDefault="00990137" w:rsidP="00FD7899">
      <w:pPr>
        <w:pStyle w:val="Ttulo1"/>
      </w:pPr>
    </w:p>
    <w:p w14:paraId="2D7E3879" w14:textId="6391DB24" w:rsidR="00B7100B" w:rsidRDefault="0052245F" w:rsidP="00990137">
      <w:pPr>
        <w:jc w:val="both"/>
        <w:rPr>
          <w:lang w:val="es-ES"/>
        </w:rPr>
      </w:pPr>
      <w:bookmarkStart w:id="1" w:name="_Toc115613419"/>
      <w:r w:rsidRPr="0052245F">
        <w:rPr>
          <w:lang w:val="es-ES"/>
        </w:rPr>
        <w:lastRenderedPageBreak/>
        <w:t>En la tabl</w:t>
      </w:r>
      <w:r w:rsidR="00E71B22">
        <w:rPr>
          <w:lang w:val="es-ES"/>
        </w:rPr>
        <w:t>a</w:t>
      </w:r>
      <w:r w:rsidRPr="0052245F">
        <w:rPr>
          <w:lang w:val="es-ES"/>
        </w:rPr>
        <w:t xml:space="preserve"> inferior s</w:t>
      </w:r>
      <w:r>
        <w:rPr>
          <w:lang w:val="es-ES"/>
        </w:rPr>
        <w:t>e van a detallar los siguientes datos con el objetivo de cumplimentar de forma adecuada este plan de gestión de costes.</w:t>
      </w:r>
    </w:p>
    <w:p w14:paraId="18588BB5" w14:textId="14F8C611" w:rsidR="00803CCB" w:rsidRDefault="0052245F" w:rsidP="00990137">
      <w:pPr>
        <w:jc w:val="both"/>
      </w:pPr>
      <w:r w:rsidRPr="00E71B22">
        <w:rPr>
          <w:b/>
          <w:bCs/>
        </w:rPr>
        <w:t>Unidades de medida:</w:t>
      </w:r>
      <w:r>
        <w:t xml:space="preserve"> </w:t>
      </w:r>
      <w:r w:rsidRPr="0052245F">
        <w:t xml:space="preserve">Estimará los costos en función de la cantidad que </w:t>
      </w:r>
      <w:r w:rsidR="00803CCB">
        <w:t xml:space="preserve">se </w:t>
      </w:r>
      <w:r w:rsidRPr="0052245F">
        <w:t>necesit</w:t>
      </w:r>
      <w:r w:rsidR="00803CCB">
        <w:t>e</w:t>
      </w:r>
      <w:r w:rsidRPr="0052245F">
        <w:t xml:space="preserve"> de un material</w:t>
      </w:r>
      <w:r>
        <w:t xml:space="preserve"> o recurso</w:t>
      </w:r>
      <w:r w:rsidRPr="0052245F">
        <w:t>. </w:t>
      </w:r>
      <w:r w:rsidR="00803CCB">
        <w:t xml:space="preserve">Estas </w:t>
      </w:r>
      <w:r w:rsidRPr="0052245F">
        <w:t>unidades pueden cambiar según el país</w:t>
      </w:r>
      <w:r>
        <w:t>, véase que</w:t>
      </w:r>
      <w:r w:rsidRPr="0052245F">
        <w:t xml:space="preserve"> en EE. UU, generalmente, las pulgadas se usan para la longitud o los pies cuadrados para el área de un espacio. </w:t>
      </w:r>
    </w:p>
    <w:p w14:paraId="2D08ACAA" w14:textId="00D57790" w:rsidR="0052245F" w:rsidRDefault="0052245F" w:rsidP="00990137">
      <w:pPr>
        <w:pStyle w:val="Ttulo4"/>
        <w:shd w:val="clear" w:color="auto" w:fill="FFFFFF"/>
        <w:spacing w:before="150" w:after="150"/>
        <w:jc w:val="both"/>
        <w:rPr>
          <w:rFonts w:ascii="Arial" w:hAnsi="Arial"/>
          <w:b w:val="0"/>
          <w:bCs w:val="0"/>
          <w:sz w:val="24"/>
          <w:szCs w:val="24"/>
        </w:rPr>
      </w:pPr>
      <w:r w:rsidRPr="0052245F">
        <w:rPr>
          <w:rFonts w:ascii="Arial" w:hAnsi="Arial"/>
          <w:b w:val="0"/>
          <w:bCs w:val="0"/>
          <w:sz w:val="24"/>
          <w:szCs w:val="24"/>
        </w:rPr>
        <w:t>Sin embargo, en los países europeos, los metros se usan para la longitud y el metro cuadrado para el área de un espacio. Dado que las unidades de medida son un aspecto crítico para determinar y estimar el costo, deben incluirse en el plan.</w:t>
      </w:r>
    </w:p>
    <w:p w14:paraId="472593B5" w14:textId="0CE15C75" w:rsidR="0052245F" w:rsidRDefault="0052245F" w:rsidP="00990137">
      <w:pPr>
        <w:jc w:val="both"/>
        <w:rPr>
          <w:shd w:val="clear" w:color="auto" w:fill="FFFFFF"/>
        </w:rPr>
      </w:pPr>
      <w:r w:rsidRPr="00803CCB">
        <w:rPr>
          <w:b/>
          <w:bCs/>
        </w:rPr>
        <w:t>Umbrales de control:</w:t>
      </w:r>
      <w:r>
        <w:t xml:space="preserve"> </w:t>
      </w:r>
      <w:r w:rsidR="00803CCB">
        <w:rPr>
          <w:shd w:val="clear" w:color="auto" w:fill="FFFFFF"/>
        </w:rPr>
        <w:t>Necesario</w:t>
      </w:r>
      <w:r>
        <w:rPr>
          <w:shd w:val="clear" w:color="auto" w:fill="FFFFFF"/>
        </w:rPr>
        <w:t xml:space="preserve"> para saber </w:t>
      </w:r>
      <w:r w:rsidRPr="0052245F">
        <w:rPr>
          <w:shd w:val="clear" w:color="auto" w:fill="FFFFFF"/>
        </w:rPr>
        <w:t>cuál será la cantidad de variación del presupuesto a tomar para volver a encarrilarse</w:t>
      </w:r>
      <w:r w:rsidR="00803CCB">
        <w:rPr>
          <w:shd w:val="clear" w:color="auto" w:fill="FFFFFF"/>
        </w:rPr>
        <w:t>.</w:t>
      </w:r>
      <w:r w:rsidRPr="0052245F">
        <w:rPr>
          <w:shd w:val="clear" w:color="auto" w:fill="FFFFFF"/>
        </w:rPr>
        <w:t> </w:t>
      </w:r>
      <w:r w:rsidR="00803CCB">
        <w:rPr>
          <w:shd w:val="clear" w:color="auto" w:fill="FFFFFF"/>
        </w:rPr>
        <w:t>Si se</w:t>
      </w:r>
      <w:r w:rsidRPr="0052245F">
        <w:rPr>
          <w:shd w:val="clear" w:color="auto" w:fill="FFFFFF"/>
        </w:rPr>
        <w:t xml:space="preserve"> establece </w:t>
      </w:r>
      <w:r w:rsidR="00803CCB">
        <w:rPr>
          <w:shd w:val="clear" w:color="auto" w:fill="FFFFFF"/>
        </w:rPr>
        <w:t xml:space="preserve">una cantidad de dinero fijo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="00803CCB">
        <w:rPr>
          <w:shd w:val="clear" w:color="auto" w:fill="FFFFFF"/>
        </w:rPr>
        <w:t xml:space="preserve"> como</w:t>
      </w:r>
      <w:r w:rsidRPr="0052245F">
        <w:rPr>
          <w:shd w:val="clear" w:color="auto" w:fill="FFFFFF"/>
        </w:rPr>
        <w:t xml:space="preserve"> umbral de control, esto significa que </w:t>
      </w:r>
      <w:r w:rsidR="00803CCB">
        <w:rPr>
          <w:shd w:val="clear" w:color="auto" w:fill="FFFFFF"/>
        </w:rPr>
        <w:t xml:space="preserve">se </w:t>
      </w:r>
      <w:r w:rsidRPr="0052245F">
        <w:rPr>
          <w:shd w:val="clear" w:color="auto" w:fill="FFFFFF"/>
        </w:rPr>
        <w:t>debe</w:t>
      </w:r>
      <w:r w:rsidR="00803CCB">
        <w:rPr>
          <w:shd w:val="clear" w:color="auto" w:fill="FFFFFF"/>
        </w:rPr>
        <w:t>n</w:t>
      </w:r>
      <w:r w:rsidRPr="0052245F">
        <w:rPr>
          <w:shd w:val="clear" w:color="auto" w:fill="FFFFFF"/>
        </w:rPr>
        <w:t xml:space="preserve"> tomar medidas correctivas si tiene un retraso de más de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Pr="0052245F">
        <w:rPr>
          <w:shd w:val="clear" w:color="auto" w:fill="FFFFFF"/>
        </w:rPr>
        <w:t xml:space="preserve"> en el cronograma.</w:t>
      </w:r>
      <w:r w:rsidR="00803CCB">
        <w:rPr>
          <w:shd w:val="clear" w:color="auto" w:fill="FFFFFF"/>
        </w:rPr>
        <w:t xml:space="preserve"> </w:t>
      </w:r>
    </w:p>
    <w:p w14:paraId="0B179D8A" w14:textId="7C81A600" w:rsidR="00803CCB" w:rsidRDefault="00803CCB" w:rsidP="00990137">
      <w:pPr>
        <w:jc w:val="both"/>
      </w:pPr>
      <w:r w:rsidRPr="00803CCB">
        <w:rPr>
          <w:b/>
          <w:bCs/>
        </w:rPr>
        <w:t>Niveles de precisión:</w:t>
      </w:r>
      <w:r>
        <w:t xml:space="preserve"> Si será necesario que sea exacto, un importe en concreto o será válido un intervalo de tiempo.</w:t>
      </w:r>
    </w:p>
    <w:tbl>
      <w:tblPr>
        <w:tblStyle w:val="Tablaconcuadrcula"/>
        <w:tblpPr w:leftFromText="141" w:rightFromText="141" w:vertAnchor="page" w:horzAnchor="margin" w:tblpY="8017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693"/>
      </w:tblGrid>
      <w:tr w:rsidR="00803CCB" w:rsidRPr="0052245F" w14:paraId="14EBB7C9" w14:textId="77777777" w:rsidTr="00E71B22">
        <w:tc>
          <w:tcPr>
            <w:tcW w:w="2972" w:type="dxa"/>
          </w:tcPr>
          <w:p w14:paraId="690A016A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Unidades de medida:</w:t>
            </w:r>
          </w:p>
        </w:tc>
        <w:tc>
          <w:tcPr>
            <w:tcW w:w="3119" w:type="dxa"/>
          </w:tcPr>
          <w:p w14:paraId="3FE536CB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Nivel de precisión:</w:t>
            </w:r>
          </w:p>
        </w:tc>
        <w:tc>
          <w:tcPr>
            <w:tcW w:w="2693" w:type="dxa"/>
          </w:tcPr>
          <w:p w14:paraId="5773EA2D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Umbral de control:</w:t>
            </w:r>
          </w:p>
        </w:tc>
      </w:tr>
      <w:tr w:rsidR="00090C8F" w:rsidRPr="006F2016" w14:paraId="17E2CEA4" w14:textId="77777777" w:rsidTr="00E71B22">
        <w:tc>
          <w:tcPr>
            <w:tcW w:w="2972" w:type="dxa"/>
          </w:tcPr>
          <w:p w14:paraId="6B10D459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Las unidades de medida e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stablecidas para este proyecto son:</w:t>
            </w:r>
          </w:p>
          <w:p w14:paraId="15E8E4D8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En el ámbito económico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euro (€)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moneda principal</w:t>
            </w:r>
          </w:p>
          <w:p w14:paraId="0301B4FE" w14:textId="77777777" w:rsidR="00090C8F" w:rsidRDefault="00090C8F" w:rsidP="00090C8F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Para la longitud de cualquier medida en cualquiera de los documentos que componen este proyecto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metro (m)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y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para el área el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metro cuadrado </w:t>
            </w:r>
            <w:r w:rsidRPr="00760D7F">
              <w:rPr>
                <w:color w:val="auto"/>
                <w:sz w:val="22"/>
                <w:szCs w:val="36"/>
                <w:lang w:val="es-ES"/>
              </w:rPr>
              <w:t>(</w:t>
            </w:r>
            <w:r w:rsidRPr="00760D7F">
              <w:rPr>
                <w:rFonts w:ascii="Helvetica" w:hAnsi="Helvetica"/>
                <w:color w:val="auto"/>
                <w:spacing w:val="2"/>
                <w:sz w:val="20"/>
                <w:szCs w:val="20"/>
                <w:shd w:val="clear" w:color="auto" w:fill="FFFFFF"/>
              </w:rPr>
              <w:t>m</w:t>
            </w:r>
            <w:r w:rsidRPr="00760D7F">
              <w:rPr>
                <w:rFonts w:cs="Arial"/>
                <w:color w:val="auto"/>
                <w:spacing w:val="2"/>
                <w:sz w:val="22"/>
                <w:szCs w:val="22"/>
                <w:shd w:val="clear" w:color="auto" w:fill="FFFFFF"/>
              </w:rPr>
              <w:t>²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)</w:t>
            </w:r>
          </w:p>
          <w:p w14:paraId="31F66207" w14:textId="396F7008" w:rsidR="00760D7F" w:rsidRPr="00760D7F" w:rsidRDefault="00760D7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En el ámbito temporal, se usarán los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días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si el espacio temporal es mayor a 24/48 horas, o en su defecto la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hora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si el tiempo 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es reducido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.</w:t>
            </w:r>
          </w:p>
        </w:tc>
        <w:tc>
          <w:tcPr>
            <w:tcW w:w="3119" w:type="dxa"/>
          </w:tcPr>
          <w:p w14:paraId="286AA68A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El nivel de precisión t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omado en este proyecto es de dos decimales, es decir cualquier valor numérico que no sea un valor entero debe tener la siguiente estructura: </w:t>
            </w:r>
            <w:r w:rsidRPr="006F2016">
              <w:rPr>
                <w:iCs/>
                <w:color w:val="auto"/>
                <w:sz w:val="22"/>
                <w:szCs w:val="36"/>
                <w:lang w:val="es-ES"/>
              </w:rPr>
              <w:t>3,14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. </w:t>
            </w:r>
          </w:p>
          <w:p w14:paraId="1E83CC3C" w14:textId="77777777" w:rsidR="00090C8F" w:rsidRDefault="00090C8F" w:rsidP="00090C8F">
            <w:pPr>
              <w:pStyle w:val="Ttulo1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Si cumple estos requisitos podemos afirmar que es un nivel de precisión </w:t>
            </w:r>
            <w:r w:rsidRPr="00B135A3">
              <w:rPr>
                <w:iCs/>
                <w:color w:val="auto"/>
                <w:sz w:val="22"/>
                <w:szCs w:val="36"/>
                <w:lang w:val="es-ES"/>
              </w:rPr>
              <w:t>exacto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 al hablar de cifras.</w:t>
            </w:r>
          </w:p>
          <w:p w14:paraId="413ED3F1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al hablar de precisión en plazos de entrega hemos establecido el siguiente criterio:</w:t>
            </w:r>
          </w:p>
          <w:p w14:paraId="22559C98" w14:textId="0329B4E2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+/- 2 días de puesta en marcha, que se reducen a +/-1 día después de la fase de diseño</w:t>
            </w:r>
            <w:r w:rsidR="00760D7F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.</w:t>
            </w:r>
          </w:p>
          <w:p w14:paraId="541B6F5F" w14:textId="7753530A" w:rsidR="00090C8F" w:rsidRPr="006F2016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</w:p>
        </w:tc>
        <w:tc>
          <w:tcPr>
            <w:tcW w:w="2693" w:type="dxa"/>
          </w:tcPr>
          <w:p w14:paraId="6B60B434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lastRenderedPageBreak/>
              <w:t xml:space="preserve">En nuestro caso, hemos establecido una cantidad de aproximadamente </w:t>
            </w:r>
            <w:r w:rsidRPr="00090C8F">
              <w:rPr>
                <w:color w:val="auto"/>
                <w:sz w:val="22"/>
                <w:szCs w:val="36"/>
                <w:lang w:val="es-ES"/>
              </w:rPr>
              <w:t>400€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umbral de control. </w:t>
            </w:r>
          </w:p>
          <w:p w14:paraId="3B8C7EA2" w14:textId="01A20620" w:rsidR="00090C8F" w:rsidRPr="006F2016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puede parecer un valor relativamente bajo, pero hemos decidido era un valor óptimo ya que previene el sobrecoste en un nivel muy temprano y el margen de maniobra creado es mucho mayor que si el umbral es mucho mayor, permitiendo al equipo intervenir de forma precoz y eficaz.</w:t>
            </w:r>
          </w:p>
        </w:tc>
      </w:tr>
    </w:tbl>
    <w:p w14:paraId="6AF60D66" w14:textId="7C6CFF08" w:rsidR="0052245F" w:rsidRPr="006F2016" w:rsidRDefault="0052245F" w:rsidP="00B7100B">
      <w:pPr>
        <w:rPr>
          <w:b/>
          <w:bCs/>
          <w:lang w:val="es-ES"/>
        </w:rPr>
      </w:pPr>
    </w:p>
    <w:p w14:paraId="7C80D535" w14:textId="77777777" w:rsidR="0052245F" w:rsidRPr="006F2016" w:rsidRDefault="0052245F" w:rsidP="00B7100B">
      <w:pPr>
        <w:rPr>
          <w:b/>
          <w:bCs/>
          <w:lang w:val="es-ES"/>
        </w:rPr>
      </w:pPr>
    </w:p>
    <w:p w14:paraId="65DA6345" w14:textId="39D5F9F4" w:rsidR="00C97A31" w:rsidRPr="00265B3C" w:rsidRDefault="00B7100B" w:rsidP="00E71B22">
      <w:pPr>
        <w:pStyle w:val="Ttulo1"/>
      </w:pPr>
      <w:r w:rsidRPr="00265B3C">
        <w:t>Reglas para la medición del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74F58D3F" w14:textId="77777777" w:rsidTr="00B7100B">
        <w:tc>
          <w:tcPr>
            <w:tcW w:w="8828" w:type="dxa"/>
          </w:tcPr>
          <w:p w14:paraId="23725A0E" w14:textId="0C845E0E" w:rsidR="00B7100B" w:rsidRDefault="00090C8F" w:rsidP="00760D7F">
            <w:pPr>
              <w:jc w:val="both"/>
            </w:pPr>
            <w:r>
              <w:t>El rendimiento vendrá dado sobre cómo se realizará el seguimiento de los costes con respecto al presupuesto. Para ello medimos el progreso con respecto al presupuesto final</w:t>
            </w:r>
            <w:r w:rsidR="00760D7F">
              <w:t xml:space="preserve">. Dichos avances vendrán dados en la EDT en el </w:t>
            </w:r>
            <w:r w:rsidR="00760D7F" w:rsidRPr="00760D7F">
              <w:rPr>
                <w:i/>
                <w:iCs/>
              </w:rPr>
              <w:t>Plan de Gestión de C</w:t>
            </w:r>
            <w:r w:rsidR="00B135A3">
              <w:rPr>
                <w:i/>
                <w:iCs/>
              </w:rPr>
              <w:t>ostes</w:t>
            </w:r>
            <w:r w:rsidR="00760D7F">
              <w:rPr>
                <w:i/>
                <w:iCs/>
              </w:rPr>
              <w:t xml:space="preserve"> </w:t>
            </w:r>
            <w:r w:rsidR="00760D7F" w:rsidRPr="00760D7F">
              <w:t>donde se encuentran las respectivas actividades y sus costes</w:t>
            </w:r>
            <w:r w:rsidR="00760D7F">
              <w:t>.</w:t>
            </w:r>
          </w:p>
        </w:tc>
      </w:tr>
    </w:tbl>
    <w:p w14:paraId="39DF1BCC" w14:textId="24C759CB" w:rsidR="00B7100B" w:rsidRDefault="00B7100B" w:rsidP="00B7100B"/>
    <w:p w14:paraId="5902ED4B" w14:textId="60E2D18B" w:rsidR="00B7100B" w:rsidRPr="00265B3C" w:rsidRDefault="00B7100B" w:rsidP="00E71B22">
      <w:pPr>
        <w:pStyle w:val="Ttulo1"/>
      </w:pPr>
      <w:r w:rsidRPr="00265B3C">
        <w:t>Informes de costes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6384A5D1" w14:textId="77777777" w:rsidTr="00467295">
        <w:tc>
          <w:tcPr>
            <w:tcW w:w="8828" w:type="dxa"/>
          </w:tcPr>
          <w:p w14:paraId="68B2C8CE" w14:textId="54466048" w:rsidR="00B7100B" w:rsidRDefault="00B135A3" w:rsidP="00B135A3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</w:t>
            </w:r>
            <w:r w:rsidRPr="00B135A3">
              <w:t xml:space="preserve"> y</w:t>
            </w:r>
            <w:r>
              <w:t xml:space="preserve"> que</w:t>
            </w:r>
            <w:r w:rsidRPr="00B135A3">
              <w:t xml:space="preserve"> se comunicarán semanalmente al cliente y a la junta del proyecto en el informe de estado del proyecto.</w:t>
            </w:r>
          </w:p>
          <w:p w14:paraId="2AE898C1" w14:textId="150BAAED" w:rsidR="00B135A3" w:rsidRDefault="00B135A3" w:rsidP="00B135A3">
            <w:pPr>
              <w:jc w:val="both"/>
            </w:pPr>
            <w:r w:rsidRPr="00B135A3">
              <w:t>Se utilizará</w:t>
            </w:r>
            <w:r>
              <w:t xml:space="preserve"> el siguiente formato</w:t>
            </w:r>
            <w:r w:rsidRPr="00B135A3">
              <w:t xml:space="preserve"> para los informes del equipo del proyecto:</w:t>
            </w:r>
          </w:p>
          <w:p w14:paraId="2DCE6EFD" w14:textId="3E5B87C3" w:rsidR="00B7100B" w:rsidRDefault="00DE38A5" w:rsidP="00DE38A5">
            <w:pPr>
              <w:jc w:val="center"/>
            </w:pPr>
            <w:r>
              <w:rPr>
                <w:i/>
                <w:noProof/>
                <w:color w:val="0A3049"/>
              </w:rPr>
              <w:drawing>
                <wp:inline distT="0" distB="0" distL="0" distR="0" wp14:anchorId="08F4E731" wp14:editId="7B046B2E">
                  <wp:extent cx="1441843" cy="1708150"/>
                  <wp:effectExtent l="0" t="0" r="635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979" cy="172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11669" w14:textId="0CB5B129" w:rsidR="00B7100B" w:rsidRDefault="00B7100B" w:rsidP="00B7100B"/>
    <w:p w14:paraId="315A1B55" w14:textId="68D75083" w:rsidR="00990137" w:rsidRDefault="00990137" w:rsidP="00B7100B"/>
    <w:p w14:paraId="27389A1E" w14:textId="417D3349" w:rsidR="00990137" w:rsidRDefault="00990137" w:rsidP="00B7100B"/>
    <w:p w14:paraId="7B254ECF" w14:textId="614D4C7D" w:rsidR="00990137" w:rsidRDefault="00990137" w:rsidP="00B7100B"/>
    <w:p w14:paraId="6D7C49D3" w14:textId="54290B81" w:rsidR="00990137" w:rsidRDefault="00990137" w:rsidP="00B7100B"/>
    <w:p w14:paraId="45AB2469" w14:textId="77777777" w:rsidR="00990137" w:rsidRDefault="00990137" w:rsidP="00B7100B"/>
    <w:p w14:paraId="2C39C57D" w14:textId="788D9B68" w:rsidR="00B7100B" w:rsidRPr="00265B3C" w:rsidRDefault="00B7100B" w:rsidP="00E71B22">
      <w:pPr>
        <w:pStyle w:val="Ttulo1"/>
      </w:pPr>
      <w:r w:rsidRPr="00265B3C">
        <w:lastRenderedPageBreak/>
        <w:t>Gestión de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100B" w14:paraId="764C862D" w14:textId="77777777" w:rsidTr="00B7100B">
        <w:tc>
          <w:tcPr>
            <w:tcW w:w="4414" w:type="dxa"/>
          </w:tcPr>
          <w:p w14:paraId="6DAD3573" w14:textId="039B4B4C" w:rsidR="00B7100B" w:rsidRDefault="00265B3C" w:rsidP="00B7100B">
            <w:r>
              <w:t>Costes estimados</w:t>
            </w:r>
          </w:p>
        </w:tc>
        <w:tc>
          <w:tcPr>
            <w:tcW w:w="4414" w:type="dxa"/>
          </w:tcPr>
          <w:p w14:paraId="28E863E1" w14:textId="239E0E69" w:rsidR="00B7100B" w:rsidRDefault="000F1E4E" w:rsidP="000F1E4E">
            <w:pPr>
              <w:jc w:val="both"/>
            </w:pPr>
            <w:r>
              <w:t xml:space="preserve">En nuestro caso, para la estimación de costes estimados se empleará la </w:t>
            </w:r>
            <w:r w:rsidRPr="000F1E4E">
              <w:rPr>
                <w:b/>
                <w:bCs/>
                <w:i/>
                <w:iCs/>
              </w:rPr>
              <w:t>Estimación Análoga</w:t>
            </w:r>
            <w:r>
              <w:t>, siendo esta una técnica para estimar el coste de una actividad utilizando datos históricos de una actividad o proyecto similar.</w:t>
            </w:r>
          </w:p>
        </w:tc>
      </w:tr>
      <w:tr w:rsidR="00B7100B" w14:paraId="08D73FD2" w14:textId="77777777" w:rsidTr="00B7100B">
        <w:tc>
          <w:tcPr>
            <w:tcW w:w="4414" w:type="dxa"/>
          </w:tcPr>
          <w:p w14:paraId="70C46B93" w14:textId="2FBD1354" w:rsidR="00B7100B" w:rsidRDefault="00265B3C" w:rsidP="00B7100B">
            <w:r w:rsidRPr="00265B3C">
              <w:t>Elaboración del presupuesto</w:t>
            </w:r>
          </w:p>
        </w:tc>
        <w:tc>
          <w:tcPr>
            <w:tcW w:w="4414" w:type="dxa"/>
          </w:tcPr>
          <w:p w14:paraId="3A5FD0BA" w14:textId="2EC508AE" w:rsidR="00B7100B" w:rsidRDefault="000F1E4E" w:rsidP="008E525E">
            <w:pPr>
              <w:jc w:val="both"/>
            </w:pPr>
            <w:r>
              <w:t xml:space="preserve">Para la elaboración del presupuesto se estiman los diferentes costes de las diversas actividades </w:t>
            </w:r>
            <w:r w:rsidR="008E525E">
              <w:t xml:space="preserve">a lo largo del tiempo, empaquetadas y distribuidas en diferentes bloques (EDT) </w:t>
            </w:r>
            <w:r>
              <w:t xml:space="preserve">y junto con el resto de </w:t>
            </w:r>
            <w:proofErr w:type="gramStart"/>
            <w:r>
              <w:t>aspectos</w:t>
            </w:r>
            <w:proofErr w:type="gramEnd"/>
            <w:r>
              <w:t xml:space="preserve"> económicos forman una estimación del presupuesto final necesario para el correcto desarrollo del proyecto.</w:t>
            </w:r>
          </w:p>
        </w:tc>
      </w:tr>
      <w:tr w:rsidR="00B7100B" w14:paraId="7B1E98B2" w14:textId="77777777" w:rsidTr="00B7100B">
        <w:tc>
          <w:tcPr>
            <w:tcW w:w="4414" w:type="dxa"/>
          </w:tcPr>
          <w:p w14:paraId="44B8235F" w14:textId="757797BB" w:rsidR="00B7100B" w:rsidRDefault="00265B3C" w:rsidP="00B7100B">
            <w:r w:rsidRPr="00265B3C">
              <w:t>Actualización, seguimiento y control</w:t>
            </w:r>
          </w:p>
        </w:tc>
        <w:tc>
          <w:tcPr>
            <w:tcW w:w="4414" w:type="dxa"/>
          </w:tcPr>
          <w:p w14:paraId="7CCDE75C" w14:textId="694B457A" w:rsidR="008E525E" w:rsidRDefault="008E525E" w:rsidP="008E525E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 de forma semanal, el cual</w:t>
            </w:r>
            <w:r w:rsidRPr="00B135A3">
              <w:t xml:space="preserve"> se comunicarán al cliente y a la junta del proyecto en el informe de estado del proyecto.</w:t>
            </w:r>
            <w:r>
              <w:t xml:space="preserve"> Todo transcurrirá con normalidad siempre y cuando los costes del proyecto en cada escalón de la línea de costes no sobrepasen el umbral de control establecido previamente. </w:t>
            </w:r>
          </w:p>
          <w:p w14:paraId="17FB9875" w14:textId="5AC4198C" w:rsidR="008E525E" w:rsidRDefault="008E525E" w:rsidP="008E525E">
            <w:pPr>
              <w:jc w:val="both"/>
            </w:pPr>
            <w:r>
              <w:t>Si esto ocurriese, se volvería a replantear de nuevo una línea de base del proyecto al igual que una nueva estimación pendiente.</w:t>
            </w:r>
          </w:p>
          <w:p w14:paraId="6731C34F" w14:textId="77777777" w:rsidR="00B7100B" w:rsidRDefault="00B7100B" w:rsidP="00B7100B"/>
        </w:tc>
      </w:tr>
    </w:tbl>
    <w:p w14:paraId="7DBBE47F" w14:textId="77777777" w:rsidR="00B7100B" w:rsidRPr="00B7100B" w:rsidRDefault="00B7100B" w:rsidP="00B7100B"/>
    <w:bookmarkEnd w:id="1"/>
    <w:p w14:paraId="4F536C15" w14:textId="77777777" w:rsidR="00A17130" w:rsidRDefault="00A17130" w:rsidP="00F415CD">
      <w:pPr>
        <w:pStyle w:val="Ttulo1"/>
      </w:pPr>
    </w:p>
    <w:sectPr w:rsidR="00A17130" w:rsidSect="002D4F14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BB86" w14:textId="77777777" w:rsidR="00316CFB" w:rsidRDefault="00316CFB" w:rsidP="00061A87">
      <w:pPr>
        <w:spacing w:after="0" w:line="240" w:lineRule="auto"/>
      </w:pPr>
      <w:r>
        <w:separator/>
      </w:r>
    </w:p>
  </w:endnote>
  <w:endnote w:type="continuationSeparator" w:id="0">
    <w:p w14:paraId="561E93DA" w14:textId="77777777" w:rsidR="00316CFB" w:rsidRDefault="00316CFB" w:rsidP="00061A87">
      <w:pPr>
        <w:spacing w:after="0" w:line="240" w:lineRule="auto"/>
      </w:pPr>
      <w:r>
        <w:continuationSeparator/>
      </w:r>
    </w:p>
  </w:endnote>
  <w:endnote w:type="continuationNotice" w:id="1">
    <w:p w14:paraId="19EF262B" w14:textId="77777777" w:rsidR="00316CFB" w:rsidRDefault="00316C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A00A" w14:textId="77777777" w:rsidR="00316CFB" w:rsidRDefault="00316CFB" w:rsidP="00061A87">
      <w:pPr>
        <w:spacing w:after="0" w:line="240" w:lineRule="auto"/>
      </w:pPr>
      <w:r>
        <w:separator/>
      </w:r>
    </w:p>
  </w:footnote>
  <w:footnote w:type="continuationSeparator" w:id="0">
    <w:p w14:paraId="1EA81C5D" w14:textId="77777777" w:rsidR="00316CFB" w:rsidRDefault="00316CFB" w:rsidP="00061A87">
      <w:pPr>
        <w:spacing w:after="0" w:line="240" w:lineRule="auto"/>
      </w:pPr>
      <w:r>
        <w:continuationSeparator/>
      </w:r>
    </w:p>
  </w:footnote>
  <w:footnote w:type="continuationNotice" w:id="1">
    <w:p w14:paraId="7A60D1DB" w14:textId="77777777" w:rsidR="00316CFB" w:rsidRDefault="00316C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6B1"/>
    <w:multiLevelType w:val="hybridMultilevel"/>
    <w:tmpl w:val="AB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547718590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0C8F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1E4E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5B3C"/>
    <w:rsid w:val="00266C17"/>
    <w:rsid w:val="00270450"/>
    <w:rsid w:val="00271D24"/>
    <w:rsid w:val="00271EDF"/>
    <w:rsid w:val="002745BD"/>
    <w:rsid w:val="002756C3"/>
    <w:rsid w:val="0027585C"/>
    <w:rsid w:val="002862C3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16CFB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0ED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245F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7604"/>
    <w:rsid w:val="006F2016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0D7F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3CCB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E525E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137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35A3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00B"/>
    <w:rsid w:val="00B71D4E"/>
    <w:rsid w:val="00B73847"/>
    <w:rsid w:val="00B75374"/>
    <w:rsid w:val="00B77706"/>
    <w:rsid w:val="00B81AE1"/>
    <w:rsid w:val="00B83CFF"/>
    <w:rsid w:val="00B869D7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38A5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1B22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MARIA GARCIA QUIJADA</cp:lastModifiedBy>
  <cp:revision>2</cp:revision>
  <cp:lastPrinted>2012-10-28T17:39:00Z</cp:lastPrinted>
  <dcterms:created xsi:type="dcterms:W3CDTF">2022-11-06T15:34:00Z</dcterms:created>
  <dcterms:modified xsi:type="dcterms:W3CDTF">2022-11-06T15:34:00Z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