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71B21"/>
          <w:sz w:val="40"/>
          <w:szCs w:val="40"/>
        </w:rPr>
        <w:t xml:space="preserve">How Many iOS Simulators Can One Cloud Mac Actually Run?</w:t>
      </w:r>
    </w:p>
    <w:p>
      <w:pPr>
        <w:spacing w:after="160" w:line="276"/>
      </w:pPr>
      <w:r>
        <w:rPr>
          <w:rFonts w:ascii="Calibri" w:cs="Calibri" w:eastAsia="Calibri" w:hAnsi="Calibri"/>
          <w:color w:val="667080"/>
          <w:sz w:val="23"/>
          <w:szCs w:val="23"/>
        </w:rPr>
        <w:t xml:space="preserve">A density, economics and operations study of iOS simulator CI on AWS EC2 Mac</w:t>
      </w:r>
    </w:p>
    <w:p>
      <w:pPr>
        <w:spacing w:after="200" w:line="276"/>
      </w:pPr>
      <w:r>
        <w:rPr>
          <w:rFonts w:ascii="Calibri" w:cs="Calibri" w:eastAsia="Calibri" w:hAnsi="Calibri"/>
          <w:color w:val="171B21"/>
          <w:sz w:val="21"/>
          <w:szCs w:val="21"/>
        </w:rPr>
        <w:t xml:space="preserve">Measured on one AWS </w:t>
      </w:r>
      <w:r>
        <w:rPr>
          <w:rFonts w:ascii="Consolas" w:cs="Consolas" w:eastAsia="Consolas" w:hAnsi="Consolas"/>
          <w:color w:val="171B21"/>
          <w:sz w:val="21"/>
          <w:szCs w:val="21"/>
        </w:rPr>
        <w:t xml:space="preserve">mac2-m2pro.metal</w:t>
      </w:r>
      <w:r>
        <w:rPr>
          <w:rFonts w:ascii="Calibri" w:cs="Calibri" w:eastAsia="Calibri" w:hAnsi="Calibri"/>
          <w:color w:val="171B21"/>
          <w:sz w:val="21"/>
          <w:szCs w:val="21"/>
        </w:rPr>
        <w:t xml:space="preserve"> Dedicated Host (Apple M2 Pro · 12 cores · 32 GB, iOS 26.5), allocated 15 Aug 2026 12:50 UTC and released 17 Aug 2026 01:24 UTC. Every number below is measured, not modelled.</w:t>
      </w:r>
    </w:p>
    <w:p>
      <w:pPr>
        <w:pStyle w:val="Heading1"/>
        <w:pBdr>
          <w:bottom w:val="single" w:color="D9DEE4" w:sz="6" w:space="6"/>
        </w:pBdr>
        <w:spacing w:after="160" w:before="360"/>
      </w:pPr>
      <w:r>
        <w:rPr>
          <w:rFonts w:ascii="Calibri" w:cs="Calibri" w:eastAsia="Calibri" w:hAnsi="Calibri"/>
          <w:b/>
          <w:bCs/>
          <w:color w:val="171B21"/>
          <w:sz w:val="30"/>
          <w:szCs w:val="30"/>
        </w:rPr>
        <w:t xml:space="preserve">TL;DR</w:t>
      </w:r>
    </w:p>
    <w:p>
      <w:pPr>
        <w:pStyle w:val="ListParagraph"/>
        <w:numPr>
          <w:ilvl w:val="0"/>
          <w:numId w:val="2"/>
        </w:numPr>
        <w:spacing w:after="110" w:line="276"/>
      </w:pPr>
      <w:r>
        <w:rPr>
          <w:rFonts w:ascii="Calibri" w:cs="Calibri" w:eastAsia="Calibri" w:hAnsi="Calibri"/>
          <w:b/>
          <w:bCs/>
          <w:color w:val="171B21"/>
          <w:sz w:val="21"/>
          <w:szCs w:val="21"/>
        </w:rPr>
        <w:t xml:space="preserve">One AWS EC2 mac2-m2pro.metal runs ~16 iOS simulators.</w:t>
      </w:r>
      <w:r>
        <w:rPr>
          <w:rFonts w:ascii="Calibri" w:cs="Calibri" w:eastAsia="Calibri" w:hAnsi="Calibri"/>
          <w:color w:val="171B21"/>
          <w:sz w:val="21"/>
          <w:szCs w:val="21"/>
        </w:rPr>
        <w:t xml:space="preserve"> Twenty-four refuse to boot. Under real on-device AI inference we ran </w:t>
      </w:r>
      <w:r>
        <w:rPr>
          <w:rFonts w:ascii="Calibri" w:cs="Calibri" w:eastAsia="Calibri" w:hAnsi="Calibri"/>
          <w:b/>
          <w:bCs/>
          <w:color w:val="171B21"/>
          <w:sz w:val="21"/>
          <w:szCs w:val="21"/>
        </w:rPr>
        <w:t xml:space="preserve">12 at once at 524 inferences/sec</w:t>
      </w:r>
      <w:r>
        <w:rPr>
          <w:rFonts w:ascii="Calibri" w:cs="Calibri" w:eastAsia="Calibri" w:hAnsi="Calibri"/>
          <w:color w:val="171B21"/>
          <w:sz w:val="21"/>
          <w:szCs w:val="21"/>
        </w:rPr>
        <w:t xml:space="preserve"> — though throughput per simulator peaks at six.</w:t>
      </w:r>
    </w:p>
    <w:p>
      <w:pPr>
        <w:pStyle w:val="ListParagraph"/>
        <w:numPr>
          <w:ilvl w:val="0"/>
          <w:numId w:val="2"/>
        </w:numPr>
        <w:spacing w:after="110" w:line="276"/>
      </w:pPr>
      <w:r>
        <w:rPr>
          <w:rFonts w:ascii="Calibri" w:cs="Calibri" w:eastAsia="Calibri" w:hAnsi="Calibri"/>
          <w:b/>
          <w:bCs/>
          <w:color w:val="171B21"/>
          <w:sz w:val="21"/>
          <w:szCs w:val="21"/>
        </w:rPr>
        <w:t xml:space="preserve">Free GitHub-hosted macOS runners work.</w:t>
      </w:r>
      <w:r>
        <w:rPr>
          <w:rFonts w:ascii="Calibri" w:cs="Calibri" w:eastAsia="Calibri" w:hAnsi="Calibri"/>
          <w:color w:val="171B21"/>
          <w:sz w:val="21"/>
          <w:szCs w:val="21"/>
        </w:rPr>
        <w:t xml:space="preserve"> They caught 7 real bugs at $0 and proved the whole pipeline — but their capacity estimate was </w:t>
      </w:r>
      <w:r>
        <w:rPr>
          <w:rFonts w:ascii="Calibri" w:cs="Calibri" w:eastAsia="Calibri" w:hAnsi="Calibri"/>
          <w:b/>
          <w:bCs/>
          <w:color w:val="171B21"/>
          <w:sz w:val="21"/>
          <w:szCs w:val="21"/>
        </w:rPr>
        <w:t xml:space="preserve">wrong by 4×</w:t>
      </w:r>
      <w:r>
        <w:rPr>
          <w:rFonts w:ascii="Calibri" w:cs="Calibri" w:eastAsia="Calibri" w:hAnsi="Calibri"/>
          <w:color w:val="171B21"/>
          <w:sz w:val="21"/>
          <w:szCs w:val="21"/>
        </w:rPr>
        <w:t xml:space="preserve"> (~90 predicted vs 16 actual). Cheap tiers validate pipelines; only target hardware sizes fleets.</w:t>
      </w:r>
    </w:p>
    <w:p>
      <w:pPr>
        <w:pStyle w:val="ListParagraph"/>
        <w:numPr>
          <w:ilvl w:val="0"/>
          <w:numId w:val="2"/>
        </w:numPr>
        <w:spacing w:after="110" w:line="276"/>
      </w:pPr>
      <w:r>
        <w:rPr>
          <w:rFonts w:ascii="Calibri" w:cs="Calibri" w:eastAsia="Calibri" w:hAnsi="Calibri"/>
          <w:b/>
          <w:bCs/>
          <w:color w:val="171B21"/>
          <w:sz w:val="21"/>
          <w:szCs w:val="21"/>
        </w:rPr>
        <w:t xml:space="preserve">More parallelism is not more speed.</w:t>
      </w:r>
      <w:r>
        <w:rPr>
          <w:rFonts w:ascii="Calibri" w:cs="Calibri" w:eastAsia="Calibri" w:hAnsi="Calibri"/>
          <w:color w:val="171B21"/>
          <w:sz w:val="21"/>
          <w:szCs w:val="21"/>
        </w:rPr>
        <w:t xml:space="preserve"> Sharding a test suite across 2 simulators: 1.65× faster. Across 4: </w:t>
      </w:r>
      <w:r>
        <w:rPr>
          <w:rFonts w:ascii="Calibri" w:cs="Calibri" w:eastAsia="Calibri" w:hAnsi="Calibri"/>
          <w:i/>
          <w:iCs/>
          <w:color w:val="171B21"/>
          <w:sz w:val="21"/>
          <w:szCs w:val="21"/>
        </w:rPr>
        <w:t xml:space="preserve">slower than not sharding at all.</w:t>
      </w:r>
      <w:r>
        <w:rPr>
          <w:rFonts w:ascii="Calibri" w:cs="Calibri" w:eastAsia="Calibri" w:hAnsi="Calibri"/>
          <w:color w:val="171B21"/>
          <w:sz w:val="21"/>
          <w:szCs w:val="21"/>
        </w:rPr>
        <w:t xml:space="preserve"> Startup cost, not core count, sets the limit.</w:t>
      </w:r>
    </w:p>
    <w:p>
      <w:pPr>
        <w:pStyle w:val="ListParagraph"/>
        <w:numPr>
          <w:ilvl w:val="0"/>
          <w:numId w:val="2"/>
        </w:numPr>
        <w:spacing w:after="110" w:line="276"/>
      </w:pPr>
      <w:r>
        <w:rPr>
          <w:rFonts w:ascii="Calibri" w:cs="Calibri" w:eastAsia="Calibri" w:hAnsi="Calibri"/>
          <w:b/>
          <w:bCs/>
          <w:color w:val="171B21"/>
          <w:sz w:val="21"/>
          <w:szCs w:val="21"/>
        </w:rPr>
        <w:t xml:space="preserve">Getting the Mac cost more than using it.</w:t>
      </w:r>
      <w:r>
        <w:rPr>
          <w:rFonts w:ascii="Calibri" w:cs="Calibri" w:eastAsia="Calibri" w:hAnsi="Calibri"/>
          <w:color w:val="171B21"/>
          <w:sz w:val="21"/>
          <w:szCs w:val="21"/>
        </w:rPr>
        <w:t xml:space="preserve"> Roughly half the paid 24-hour window went to acquisition and setup — a capacity lottery, an image with no Xcode, and failures that report the wrong problem.</w:t>
      </w:r>
    </w:p>
    <w:p>
      <w:pPr>
        <w:pStyle w:val="ListParagraph"/>
        <w:numPr>
          <w:ilvl w:val="0"/>
          <w:numId w:val="2"/>
        </w:numPr>
        <w:spacing w:after="110" w:line="276"/>
      </w:pPr>
      <w:r>
        <w:rPr>
          <w:rFonts w:ascii="Calibri" w:cs="Calibri" w:eastAsia="Calibri" w:hAnsi="Calibri"/>
          <w:b/>
          <w:bCs/>
          <w:color w:val="171B21"/>
          <w:sz w:val="21"/>
          <w:szCs w:val="21"/>
        </w:rPr>
        <w:t xml:space="preserve">The gap is a layer up, not a better box.</w:t>
      </w:r>
      <w:r>
        <w:rPr>
          <w:rFonts w:ascii="Calibri" w:cs="Calibri" w:eastAsia="Calibri" w:hAnsi="Calibri"/>
          <w:color w:val="171B21"/>
          <w:sz w:val="21"/>
          <w:szCs w:val="21"/>
        </w:rPr>
        <w:t xml:space="preserve"> MacStadium (Orka) and the CI vendors already solved VM-slicing on Mac metal. What nobody sells is </w:t>
      </w:r>
      <w:r>
        <w:rPr>
          <w:rFonts w:ascii="Calibri" w:cs="Calibri" w:eastAsia="Calibri" w:hAnsi="Calibri"/>
          <w:b/>
          <w:bCs/>
          <w:color w:val="171B21"/>
          <w:sz w:val="21"/>
          <w:szCs w:val="21"/>
        </w:rPr>
        <w:t xml:space="preserve">guaranteed parallel simulator capacity</w:t>
      </w:r>
      <w:r>
        <w:rPr>
          <w:rFonts w:ascii="Calibri" w:cs="Calibri" w:eastAsia="Calibri" w:hAnsi="Calibri"/>
          <w:color w:val="171B21"/>
          <w:sz w:val="21"/>
          <w:szCs w:val="21"/>
        </w:rPr>
        <w:t xml:space="preserve"> — reservable, on ready images, with published density numbers so teams can size before they buy.</w:t>
      </w:r>
    </w:p>
    <w:p>
      <w:pPr>
        <w:pStyle w:val="Heading1"/>
        <w:pBdr>
          <w:bottom w:val="single" w:color="D9DEE4" w:sz="6" w:space="6"/>
        </w:pBdr>
        <w:spacing w:after="160" w:before="360"/>
      </w:pPr>
      <w:r>
        <w:rPr>
          <w:rFonts w:ascii="Calibri" w:cs="Calibri" w:eastAsia="Calibri" w:hAnsi="Calibri"/>
          <w:b/>
          <w:bCs/>
          <w:color w:val="171B21"/>
          <w:sz w:val="30"/>
          <w:szCs w:val="30"/>
        </w:rPr>
        <w:t xml:space="preserve">1 · The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Metric</w:t>
            </w:r>
          </w:p>
        </w:tc>
        <w:tc>
          <w:tcPr>
            <w:tcW w:type="dxa" w:w="596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Measured</w:t>
            </w:r>
          </w:p>
        </w:tc>
      </w:tr>
      <w:tr>
        <w:tc>
          <w:tcPr>
            <w:tcW w:type="dxa" w:w="3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171B21"/>
                <w:sz w:val="19"/>
                <w:szCs w:val="19"/>
              </w:rPr>
              <w:t xml:space="preserve">Reliable working point (IDLE)</w:t>
            </w:r>
          </w:p>
        </w:tc>
        <w:tc>
          <w:tcPr>
            <w:tcW w:type="dxa" w:w="59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171B21"/>
                <w:sz w:val="19"/>
                <w:szCs w:val="19"/>
              </w:rPr>
              <w:t xml:space="preserve">~16 simulators</w:t>
            </w:r>
          </w:p>
        </w:tc>
      </w:tr>
      <w:tr>
        <w:tc>
          <w:tcPr>
            <w:tcW w:type="dxa" w:w="3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171B21"/>
                <w:sz w:val="19"/>
                <w:szCs w:val="19"/>
              </w:rPr>
              <w:t xml:space="preserve">Hard ceiling</w:t>
            </w:r>
          </w:p>
        </w:tc>
        <w:tc>
          <w:tcPr>
            <w:tcW w:type="dxa" w:w="59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171B21"/>
                <w:sz w:val="19"/>
                <w:szCs w:val="19"/>
              </w:rPr>
              <w:t xml:space="preserve">24 — launchd_sim cannot bind a session</w:t>
            </w:r>
          </w:p>
        </w:tc>
      </w:tr>
      <w:tr>
        <w:tc>
          <w:tcPr>
            <w:tcW w:type="dxa" w:w="3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Memory per simulator</w:t>
            </w:r>
          </w:p>
        </w:tc>
        <w:tc>
          <w:tcPr>
            <w:tcW w:type="dxa" w:w="59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~1,115 MB over an 11.8 GB base</w:t>
            </w:r>
          </w:p>
        </w:tc>
      </w:tr>
      <w:tr>
        <w:tc>
          <w:tcPr>
            <w:tcW w:type="dxa" w:w="3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Processes per simulator</w:t>
            </w:r>
          </w:p>
        </w:tc>
        <w:tc>
          <w:tcPr>
            <w:tcW w:type="dxa" w:w="59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~260 (not the 15–25 commonly assumed)</w:t>
            </w:r>
          </w:p>
        </w:tc>
      </w:tr>
      <w:tr>
        <w:tc>
          <w:tcPr>
            <w:tcW w:type="dxa" w:w="3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At the working point</w:t>
            </w:r>
          </w:p>
        </w:tc>
        <w:tc>
          <w:tcPr>
            <w:tcW w:type="dxa" w:w="59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15 GB into swap, ~4,200 processes, 315 s boot wall</w:t>
            </w:r>
          </w:p>
        </w:tc>
      </w:tr>
      <w:tr>
        <w:tc>
          <w:tcPr>
            <w:tcW w:type="dxa" w:w="3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Edge-AI throughput</w:t>
            </w:r>
          </w:p>
        </w:tc>
        <w:tc>
          <w:tcPr>
            <w:tcW w:type="dxa" w:w="59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45.6 → 523.9 inferences/sec across N = 1 → 12</w:t>
            </w:r>
          </w:p>
        </w:tc>
      </w:tr>
      <w:tr>
        <w:tc>
          <w:tcPr>
            <w:tcW w:type="dxa" w:w="3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Edge-AI efficiency peak</w:t>
            </w:r>
          </w:p>
        </w:tc>
        <w:tc>
          <w:tcPr>
            <w:tcW w:type="dxa" w:w="59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N = 6 (55.2 inf/s per simulator)</w:t>
            </w:r>
          </w:p>
        </w:tc>
      </w:tr>
      <w:tr>
        <w:tc>
          <w:tcPr>
            <w:tcW w:type="dxa" w:w="3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Best suite sharding</w:t>
            </w:r>
          </w:p>
        </w:tc>
        <w:tc>
          <w:tcPr>
            <w:tcW w:type="dxa" w:w="59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1.65× at 2 shards; 4 shards is slower than none</w:t>
            </w:r>
          </w:p>
        </w:tc>
      </w:tr>
    </w:tbl>
    <w:p>
      <w:pPr>
        <w:spacing w:after="180"/>
      </w:pPr>
    </w:p>
    <w:p>
      <w:pPr>
        <w:spacing w:after="140" w:line="276"/>
      </w:pPr>
      <w:r>
        <w:rPr>
          <w:rFonts w:ascii="Calibri" w:cs="Calibri" w:eastAsia="Calibri" w:hAnsi="Calibri"/>
          <w:b/>
          <w:bCs/>
          <w:color w:val="171B21"/>
          <w:sz w:val="21"/>
          <w:szCs w:val="21"/>
        </w:rPr>
        <w:t xml:space="preserve">Three findings a mobile organisation can act on immediately:</w:t>
      </w:r>
    </w:p>
    <w:p>
      <w:pPr>
        <w:pStyle w:val="ListParagraph"/>
        <w:numPr>
          <w:ilvl w:val="0"/>
          <w:numId w:val="2"/>
        </w:numPr>
        <w:spacing w:after="110" w:line="276"/>
      </w:pPr>
      <w:r>
        <w:rPr>
          <w:rFonts w:ascii="Calibri" w:cs="Calibri" w:eastAsia="Calibri" w:hAnsi="Calibri"/>
          <w:b/>
          <w:bCs/>
          <w:color w:val="171B21"/>
          <w:sz w:val="21"/>
          <w:szCs w:val="21"/>
        </w:rPr>
        <w:t xml:space="preserve">Free-tier estimates are off by 4×.</w:t>
      </w:r>
      <w:r>
        <w:rPr>
          <w:rFonts w:ascii="Calibri" w:cs="Calibri" w:eastAsia="Calibri" w:hAnsi="Calibri"/>
          <w:color w:val="171B21"/>
          <w:sz w:val="21"/>
          <w:szCs w:val="21"/>
        </w:rPr>
        <w:t xml:space="preserve"> If your capacity plan came from a small runner, it is wrong — and wrong in the expensive direction.</w:t>
      </w:r>
    </w:p>
    <w:p>
      <w:pPr>
        <w:pStyle w:val="ListParagraph"/>
        <w:numPr>
          <w:ilvl w:val="0"/>
          <w:numId w:val="2"/>
        </w:numPr>
        <w:spacing w:after="110" w:line="276"/>
      </w:pPr>
      <w:r>
        <w:rPr>
          <w:rFonts w:ascii="Calibri" w:cs="Calibri" w:eastAsia="Calibri" w:hAnsi="Calibri"/>
          <w:b/>
          <w:bCs/>
          <w:color w:val="171B21"/>
          <w:sz w:val="21"/>
          <w:szCs w:val="21"/>
        </w:rPr>
        <w:t xml:space="preserve">AI-feature testing costs ~2× the capacity of ordinary testing.</w:t>
      </w:r>
      <w:r>
        <w:rPr>
          <w:rFonts w:ascii="Calibri" w:cs="Calibri" w:eastAsia="Calibri" w:hAnsi="Calibri"/>
          <w:color w:val="171B21"/>
          <w:sz w:val="21"/>
          <w:szCs w:val="21"/>
        </w:rPr>
        <w:t xml:space="preserve"> Inference simulators need ~1.5 GB each and peak at six per box. Size for memory, not cores.</w:t>
      </w:r>
    </w:p>
    <w:p>
      <w:pPr>
        <w:pStyle w:val="ListParagraph"/>
        <w:numPr>
          <w:ilvl w:val="0"/>
          <w:numId w:val="2"/>
        </w:numPr>
        <w:spacing w:after="110" w:line="276"/>
      </w:pPr>
      <w:r>
        <w:rPr>
          <w:rFonts w:ascii="Calibri" w:cs="Calibri" w:eastAsia="Calibri" w:hAnsi="Calibri"/>
          <w:b/>
          <w:bCs/>
          <w:color w:val="171B21"/>
          <w:sz w:val="21"/>
          <w:szCs w:val="21"/>
        </w:rPr>
        <w:t xml:space="preserve">Measure your own startup cost before buying parallelism.</w:t>
      </w:r>
      <w:r>
        <w:rPr>
          <w:rFonts w:ascii="Calibri" w:cs="Calibri" w:eastAsia="Calibri" w:hAnsi="Calibri"/>
          <w:color w:val="171B21"/>
          <w:sz w:val="21"/>
          <w:szCs w:val="21"/>
        </w:rPr>
        <w:t xml:space="preserve"> Twelve cores bought two-way parallelism, not twelve-way.</w:t>
      </w:r>
    </w:p>
    <w:p>
      <w:pPr>
        <w:pStyle w:val="Heading1"/>
        <w:pBdr>
          <w:bottom w:val="single" w:color="D9DEE4" w:sz="6" w:space="6"/>
        </w:pBdr>
        <w:spacing w:after="160" w:before="360"/>
      </w:pPr>
      <w:r>
        <w:rPr>
          <w:rFonts w:ascii="Calibri" w:cs="Calibri" w:eastAsia="Calibri" w:hAnsi="Calibri"/>
          <w:b/>
          <w:bCs/>
          <w:color w:val="171B21"/>
          <w:sz w:val="30"/>
          <w:szCs w:val="30"/>
        </w:rPr>
        <w:t xml:space="preserve">2 · Why this matters</w:t>
      </w:r>
    </w:p>
    <w:p>
      <w:pPr>
        <w:spacing w:after="140" w:line="276"/>
      </w:pPr>
      <w:r>
        <w:rPr>
          <w:rFonts w:ascii="Calibri" w:cs="Calibri" w:eastAsia="Calibri" w:hAnsi="Calibri"/>
          <w:color w:val="171B21"/>
          <w:sz w:val="21"/>
          <w:szCs w:val="21"/>
        </w:rPr>
        <w:t xml:space="preserve">Mobile teams ship at the speed their pull requests get feedback. Test suites are parallelised across simulators; simulators are constrained by Mac hardware — the scarcest, oddest resource in CI, and the only one a hyperscaler still rents by the day rather than the minute.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860"/>
        <w:gridCol w:w="2400"/>
      </w:tblGrid>
      <w:tr>
        <w:trPr>
          <w:tblHeader/>
        </w:trPr>
        <w:tc>
          <w:tcPr>
            <w:tcW w:type="dxa" w:w="190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
            </w:r>
          </w:p>
        </w:tc>
        <w:tc>
          <w:tcPr>
            <w:tcW w:type="dxa" w:w="220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Hosted runners</w:t>
            </w:r>
          </w:p>
        </w:tc>
        <w:tc>
          <w:tcPr>
            <w:tcW w:type="dxa" w:w="286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Dedicated cloud Mac (measured)</w:t>
            </w:r>
          </w:p>
        </w:tc>
        <w:tc>
          <w:tcPr>
            <w:tcW w:type="dxa" w:w="240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Managed Mac cloud</w:t>
            </w:r>
          </w:p>
        </w:tc>
      </w:tr>
      <w:tr>
        <w:tc>
          <w:tcPr>
            <w:tcW w:type="dxa" w:w="19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Parallel simulators</w:t>
            </w:r>
          </w:p>
        </w:tc>
        <w:tc>
          <w:tcPr>
            <w:tcW w:type="dxa" w:w="22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~3 (7 GB cap)</w:t>
            </w:r>
          </w:p>
        </w:tc>
        <w:tc>
          <w:tcPr>
            <w:tcW w:type="dxa" w:w="28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171B21"/>
                <w:sz w:val="19"/>
                <w:szCs w:val="19"/>
              </w:rPr>
              <w:t xml:space="preserve">~16 idle / ~6–12 under AI load</w:t>
            </w:r>
          </w:p>
        </w:tc>
        <w:tc>
          <w:tcPr>
            <w:tcW w:type="dxa" w:w="2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vendor-defined</w:t>
            </w:r>
          </w:p>
        </w:tc>
      </w:tr>
      <w:tr>
        <w:tc>
          <w:tcPr>
            <w:tcW w:type="dxa" w:w="19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Purchase unit</w:t>
            </w:r>
          </w:p>
        </w:tc>
        <w:tc>
          <w:tcPr>
            <w:tcW w:type="dxa" w:w="22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per-minute, free for OSS</w:t>
            </w:r>
          </w:p>
        </w:tc>
        <w:tc>
          <w:tcPr>
            <w:tcW w:type="dxa" w:w="28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171B21"/>
                <w:sz w:val="19"/>
                <w:szCs w:val="19"/>
              </w:rPr>
              <w:t xml:space="preserve">24-hour minimum</w:t>
            </w:r>
          </w:p>
        </w:tc>
        <w:tc>
          <w:tcPr>
            <w:tcW w:type="dxa" w:w="2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per-minute</w:t>
            </w:r>
          </w:p>
        </w:tc>
      </w:tr>
      <w:tr>
        <w:tc>
          <w:tcPr>
            <w:tcW w:type="dxa" w:w="19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Timing stability</w:t>
            </w:r>
          </w:p>
        </w:tc>
        <w:tc>
          <w:tcPr>
            <w:tcW w:type="dxa" w:w="22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varies &gt; 2× run to run</w:t>
            </w:r>
          </w:p>
        </w:tc>
        <w:tc>
          <w:tcPr>
            <w:tcW w:type="dxa" w:w="28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stable</w:t>
            </w:r>
          </w:p>
        </w:tc>
        <w:tc>
          <w:tcPr>
            <w:tcW w:type="dxa" w:w="2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stable</w:t>
            </w:r>
          </w:p>
        </w:tc>
      </w:tr>
      <w:tr>
        <w:tc>
          <w:tcPr>
            <w:tcW w:type="dxa" w:w="19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Setup burden</w:t>
            </w:r>
          </w:p>
        </w:tc>
        <w:tc>
          <w:tcPr>
            <w:tcW w:type="dxa" w:w="22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none</w:t>
            </w:r>
          </w:p>
        </w:tc>
        <w:tc>
          <w:tcPr>
            <w:tcW w:type="dxa" w:w="28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171B21"/>
                <w:sz w:val="19"/>
                <w:szCs w:val="19"/>
              </w:rPr>
              <w:t xml:space="preserve">~half of our first paid day</w:t>
            </w:r>
          </w:p>
        </w:tc>
        <w:tc>
          <w:tcPr>
            <w:tcW w:type="dxa" w:w="2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none</w:t>
            </w:r>
          </w:p>
        </w:tc>
      </w:tr>
      <w:tr>
        <w:tc>
          <w:tcPr>
            <w:tcW w:type="dxa" w:w="19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Best for</w:t>
            </w:r>
          </w:p>
        </w:tc>
        <w:tc>
          <w:tcPr>
            <w:tcW w:type="dxa" w:w="22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correctness signals</w:t>
            </w:r>
          </w:p>
        </w:tc>
        <w:tc>
          <w:tcPr>
            <w:tcW w:type="dxa" w:w="28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sustained high-volume density</w:t>
            </w:r>
          </w:p>
        </w:tc>
        <w:tc>
          <w:tcPr>
            <w:tcW w:type="dxa" w:w="2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most teams, most of the time</w:t>
            </w:r>
          </w:p>
        </w:tc>
      </w:tr>
    </w:tbl>
    <w:p>
      <w:pPr>
        <w:spacing w:after="180"/>
      </w:pPr>
    </w:p>
    <w:p>
      <w:pPr>
        <w:spacing w:after="140" w:line="276"/>
      </w:pPr>
      <w:r>
        <w:rPr>
          <w:rFonts w:ascii="Calibri" w:cs="Calibri" w:eastAsia="Calibri" w:hAnsi="Calibri"/>
          <w:b/>
          <w:bCs/>
          <w:color w:val="171B21"/>
          <w:sz w:val="21"/>
          <w:szCs w:val="21"/>
        </w:rPr>
        <w:t xml:space="preserve">The strategic read.</w:t>
      </w:r>
      <w:r>
        <w:rPr>
          <w:rFonts w:ascii="Calibri" w:cs="Calibri" w:eastAsia="Calibri" w:hAnsi="Calibri"/>
          <w:color w:val="171B21"/>
          <w:sz w:val="21"/>
          <w:szCs w:val="21"/>
        </w:rPr>
        <w:t xml:space="preserve"> Every number says the same thing: the constraint in cloud iOS testing is not silicon, it is packaging. The hardware can do the work; the purchase model, the images and the operational surface are what make it expensive.</w:t>
      </w:r>
    </w:p>
    <w:p>
      <w:r>
        <w:br w:type="page"/>
      </w:r>
    </w:p>
    <w:p>
      <w:pPr>
        <w:pStyle w:val="Heading1"/>
        <w:pBdr>
          <w:bottom w:val="single" w:color="D9DEE4" w:sz="6" w:space="6"/>
        </w:pBdr>
        <w:spacing w:after="160" w:before="360"/>
      </w:pPr>
      <w:r>
        <w:rPr>
          <w:rFonts w:ascii="Calibri" w:cs="Calibri" w:eastAsia="Calibri" w:hAnsi="Calibri"/>
          <w:b/>
          <w:bCs/>
          <w:color w:val="171B21"/>
          <w:sz w:val="30"/>
          <w:szCs w:val="30"/>
        </w:rPr>
        <w:t xml:space="preserve">3 · What we measured, and how</w:t>
      </w:r>
    </w:p>
    <w:p>
      <w:pPr>
        <w:spacing w:after="140" w:line="276"/>
      </w:pPr>
      <w:r>
        <w:rPr>
          <w:rFonts w:ascii="Calibri" w:cs="Calibri" w:eastAsia="Calibri" w:hAnsi="Calibri"/>
          <w:color w:val="171B21"/>
          <w:sz w:val="21"/>
          <w:szCs w:val="21"/>
        </w:rPr>
        <w:t xml:space="preserve">Boot N simulators. Install a real SwiftUI app in each. Verify every one actually rendered a frame — not merely that it reported "Booted", because simulators routinely do the latter without the former. Sample host memory, load, swap and process count every second. Tear the set down, repeat for variance, step N up, and continue until something breaks — then record what broke.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400"/>
        <w:gridCol w:w="1050"/>
        <w:gridCol w:w="4160"/>
      </w:tblGrid>
      <w:tr>
        <w:trPr>
          <w:tblHeader/>
        </w:trPr>
        <w:tc>
          <w:tcPr>
            <w:tcW w:type="dxa" w:w="175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Tier</w:t>
            </w:r>
          </w:p>
        </w:tc>
        <w:tc>
          <w:tcPr>
            <w:tcW w:type="dxa" w:w="240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Hardware</w:t>
            </w:r>
          </w:p>
        </w:tc>
        <w:tc>
          <w:tcPr>
            <w:tcW w:type="dxa" w:w="105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Cost</w:t>
            </w:r>
          </w:p>
        </w:tc>
        <w:tc>
          <w:tcPr>
            <w:tcW w:type="dxa" w:w="416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What it caught</w:t>
            </w:r>
          </w:p>
        </w:tc>
      </w:tr>
      <w:tr>
        <w:tc>
          <w:tcPr>
            <w:tcW w:type="dxa" w:w="175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Mocks</w:t>
            </w:r>
          </w:p>
        </w:tc>
        <w:tc>
          <w:tcPr>
            <w:tcW w:type="dxa" w:w="2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any OS, fault-injectable simctl</w:t>
            </w:r>
          </w:p>
        </w:tc>
        <w:tc>
          <w:tcPr>
            <w:tcW w:type="dxa" w:w="105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$0</w:t>
            </w:r>
          </w:p>
        </w:tc>
        <w:tc>
          <w:tcPr>
            <w:tcW w:type="dxa" w:w="41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harness logic; a pipefail bug that misreported boots</w:t>
            </w:r>
          </w:p>
        </w:tc>
      </w:tr>
      <w:tr>
        <w:tc>
          <w:tcPr>
            <w:tcW w:type="dxa" w:w="175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Hosted macOS runners</w:t>
            </w:r>
          </w:p>
        </w:tc>
        <w:tc>
          <w:tcPr>
            <w:tcW w:type="dxa" w:w="2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3 cores / 7 GB</w:t>
            </w:r>
          </w:p>
        </w:tc>
        <w:tc>
          <w:tcPr>
            <w:tcW w:type="dxa" w:w="105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$0</w:t>
            </w:r>
          </w:p>
        </w:tc>
        <w:tc>
          <w:tcPr>
            <w:tcW w:type="dxa" w:w="41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7 real bugs; the RAM model that later proved 4× optimistic</w:t>
            </w:r>
          </w:p>
        </w:tc>
      </w:tr>
      <w:tr>
        <w:tc>
          <w:tcPr>
            <w:tcW w:type="dxa" w:w="175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171B21"/>
                <w:sz w:val="19"/>
                <w:szCs w:val="19"/>
              </w:rPr>
              <w:t xml:space="preserve">EC2 Mac</w:t>
            </w:r>
          </w:p>
        </w:tc>
        <w:tc>
          <w:tcPr>
            <w:tcW w:type="dxa" w:w="24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171B21"/>
                <w:sz w:val="19"/>
                <w:szCs w:val="19"/>
              </w:rPr>
              <w:t xml:space="preserve">M2 Pro / 12 cores / 32 GB</w:t>
            </w:r>
          </w:p>
        </w:tc>
        <w:tc>
          <w:tcPr>
            <w:tcW w:type="dxa" w:w="105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host rate</w:t>
            </w:r>
          </w:p>
        </w:tc>
        <w:tc>
          <w:tcPr>
            <w:tcW w:type="dxa" w:w="41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171B21"/>
                <w:sz w:val="19"/>
                <w:szCs w:val="19"/>
              </w:rPr>
              <w:t xml:space="preserve">the density answer, plus four walls free tiers cannot reach</w:t>
            </w:r>
          </w:p>
        </w:tc>
      </w:tr>
    </w:tbl>
    <w:p>
      <w:pPr>
        <w:spacing w:after="180"/>
      </w:pPr>
    </w:p>
    <w:p>
      <w:pPr>
        <w:spacing w:after="140" w:line="276"/>
      </w:pPr>
      <w:r>
        <w:rPr>
          <w:rFonts w:ascii="Calibri" w:cs="Calibri" w:eastAsia="Calibri" w:hAnsi="Calibri"/>
          <w:b/>
          <w:bCs/>
          <w:color w:val="171B21"/>
          <w:sz w:val="21"/>
          <w:szCs w:val="21"/>
        </w:rPr>
        <w:t xml:space="preserve">The calibration scorecard.</w:t>
      </w:r>
      <w:r>
        <w:rPr>
          <w:rFonts w:ascii="Calibri" w:cs="Calibri" w:eastAsia="Calibri" w:hAnsi="Calibri"/>
          <w:color w:val="171B21"/>
          <w:sz w:val="21"/>
          <w:szCs w:val="21"/>
        </w:rPr>
        <w:t xml:space="preserve"> The free tier predicted ~90 simulators from a 267 MB/sim fit. The machine held 16, at 1,115 MB/sim. Not a modelling error but a sampling one: three simulators on a 7 GB box never enter the regime that binds. </w:t>
      </w:r>
      <w:r>
        <w:rPr>
          <w:rFonts w:ascii="Calibri" w:cs="Calibri" w:eastAsia="Calibri" w:hAnsi="Calibri"/>
          <w:b/>
          <w:bCs/>
          <w:color w:val="171B21"/>
          <w:sz w:val="21"/>
          <w:szCs w:val="21"/>
        </w:rPr>
        <w:t xml:space="preserve">Cheap tiers prove your pipeline; only the target hardware sizes your fleet.</w:t>
      </w:r>
    </w:p>
    <w:p>
      <w:pPr>
        <w:pStyle w:val="Heading1"/>
        <w:pBdr>
          <w:bottom w:val="single" w:color="D9DEE4" w:sz="6" w:space="6"/>
        </w:pBdr>
        <w:spacing w:after="160" w:before="360"/>
      </w:pPr>
      <w:r>
        <w:rPr>
          <w:rFonts w:ascii="Calibri" w:cs="Calibri" w:eastAsia="Calibri" w:hAnsi="Calibri"/>
          <w:b/>
          <w:bCs/>
          <w:color w:val="171B21"/>
          <w:sz w:val="30"/>
          <w:szCs w:val="30"/>
        </w:rPr>
        <w:t xml:space="preserve">4 · Results</w:t>
      </w:r>
    </w:p>
    <w:p>
      <w:pPr>
        <w:pStyle w:val="Heading2"/>
        <w:spacing w:after="110" w:before="240"/>
      </w:pPr>
      <w:r>
        <w:rPr>
          <w:rFonts w:ascii="Calibri" w:cs="Calibri" w:eastAsia="Calibri" w:hAnsi="Calibri"/>
          <w:b/>
          <w:bCs/>
          <w:color w:val="0D8F86"/>
          <w:sz w:val="23"/>
          <w:szCs w:val="23"/>
        </w:rPr>
        <w:t xml:space="preserve">Density ladder — the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N</w:t>
            </w:r>
          </w:p>
        </w:tc>
        <w:tc>
          <w:tcPr>
            <w:tcW w:type="dxa" w:w="130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1</w:t>
            </w:r>
          </w:p>
        </w:tc>
        <w:tc>
          <w:tcPr>
            <w:tcW w:type="dxa" w:w="130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2</w:t>
            </w:r>
          </w:p>
        </w:tc>
        <w:tc>
          <w:tcPr>
            <w:tcW w:type="dxa" w:w="130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4</w:t>
            </w:r>
          </w:p>
        </w:tc>
        <w:tc>
          <w:tcPr>
            <w:tcW w:type="dxa" w:w="130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8</w:t>
            </w:r>
          </w:p>
        </w:tc>
        <w:tc>
          <w:tcPr>
            <w:tcW w:type="dxa" w:w="130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16</w:t>
            </w:r>
          </w:p>
        </w:tc>
        <w:tc>
          <w:tcPr>
            <w:tcW w:type="dxa" w:w="130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24</w:t>
            </w:r>
          </w:p>
        </w:tc>
      </w:tr>
      <w:tr>
        <w:tc>
          <w:tcPr>
            <w:tcW w:type="dxa" w:w="15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renders</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100%</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100%</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100%</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100%</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100%</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D9622B"/>
                <w:sz w:val="19"/>
                <w:szCs w:val="19"/>
              </w:rPr>
              <w:t xml:space="preserve">fails to boot</w:t>
            </w:r>
          </w:p>
        </w:tc>
      </w:tr>
      <w:tr>
        <w:tc>
          <w:tcPr>
            <w:tcW w:type="dxa" w:w="15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memory</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9.4 GB</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13.9 GB</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19.0 GB</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25.7 GB</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27.3 GB</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w:t>
            </w:r>
          </w:p>
        </w:tc>
      </w:tr>
      <w:tr>
        <w:tc>
          <w:tcPr>
            <w:tcW w:type="dxa" w:w="15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swap</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0</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0</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0</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~0</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15 GB</w:t>
            </w:r>
          </w:p>
        </w:tc>
        <w:tc>
          <w:tcPr>
            <w:tcW w:type="dxa" w:w="13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w:t>
            </w:r>
          </w:p>
        </w:tc>
      </w:tr>
    </w:tbl>
    <w:p>
      <w:pPr>
        <w:spacing w:after="160"/>
      </w:pPr>
    </w:p>
    <w:p>
      <w:pPr>
        <w:pStyle w:val="Heading2"/>
        <w:spacing w:after="110" w:before="240"/>
      </w:pPr>
      <w:r>
        <w:rPr>
          <w:rFonts w:ascii="Calibri" w:cs="Calibri" w:eastAsia="Calibri" w:hAnsi="Calibri"/>
          <w:b/>
          <w:bCs/>
          <w:color w:val="0D8F86"/>
          <w:sz w:val="23"/>
          <w:szCs w:val="23"/>
        </w:rPr>
        <w:t xml:space="preserve">Edge-AI curve — density is superlinear before it is sublinear</w:t>
      </w:r>
    </w:p>
    <w:p>
      <w:pPr>
        <w:spacing w:after="140" w:line="276"/>
      </w:pPr>
      <w:r>
        <w:rPr>
          <w:rFonts w:ascii="Calibri" w:cs="Calibri" w:eastAsia="Calibri" w:hAnsi="Calibri"/>
          <w:color w:val="171B21"/>
          <w:sz w:val="21"/>
          <w:szCs w:val="21"/>
        </w:rPr>
        <w:t xml:space="preserve">Aggregate on-device inference rises 45.6 → 523.9 inf/s from N = 1 to N = 12 (11.5×), but per-simulator throughput peaks at N = 6 — 21% better than a lone simulator, because one simulator cannot saturate the machine. Past six, marginal return halves, exactly where swap begins. It never plateaued: edge-AI density here is bound by memory, not by the twelve cores.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30"/>
        <w:gridCol w:w="1030"/>
        <w:gridCol w:w="1030"/>
        <w:gridCol w:w="1030"/>
        <w:gridCol w:w="1030"/>
        <w:gridCol w:w="1025"/>
        <w:gridCol w:w="1025"/>
      </w:tblGrid>
      <w:tr>
        <w:trPr>
          <w:tblHeader/>
        </w:trPr>
        <w:tc>
          <w:tcPr>
            <w:tcW w:type="dxa" w:w="216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Simulators</w:t>
            </w:r>
          </w:p>
        </w:tc>
        <w:tc>
          <w:tcPr>
            <w:tcW w:type="dxa" w:w="103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1</w:t>
            </w:r>
          </w:p>
        </w:tc>
        <w:tc>
          <w:tcPr>
            <w:tcW w:type="dxa" w:w="103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2</w:t>
            </w:r>
          </w:p>
        </w:tc>
        <w:tc>
          <w:tcPr>
            <w:tcW w:type="dxa" w:w="103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4</w:t>
            </w:r>
          </w:p>
        </w:tc>
        <w:tc>
          <w:tcPr>
            <w:tcW w:type="dxa" w:w="103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6</w:t>
            </w:r>
          </w:p>
        </w:tc>
        <w:tc>
          <w:tcPr>
            <w:tcW w:type="dxa" w:w="103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8</w:t>
            </w:r>
          </w:p>
        </w:tc>
        <w:tc>
          <w:tcPr>
            <w:tcW w:type="dxa" w:w="1025"/>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10</w:t>
            </w:r>
          </w:p>
        </w:tc>
        <w:tc>
          <w:tcPr>
            <w:tcW w:type="dxa" w:w="1025"/>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12</w:t>
            </w:r>
          </w:p>
        </w:tc>
      </w:tr>
      <w:tr>
        <w:tc>
          <w:tcPr>
            <w:tcW w:type="dxa" w:w="21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aggregate inf/s</w:t>
            </w:r>
          </w:p>
        </w:tc>
        <w:tc>
          <w:tcPr>
            <w:tcW w:type="dxa" w:w="103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45.6</w:t>
            </w:r>
          </w:p>
        </w:tc>
        <w:tc>
          <w:tcPr>
            <w:tcW w:type="dxa" w:w="103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97.7</w:t>
            </w:r>
          </w:p>
        </w:tc>
        <w:tc>
          <w:tcPr>
            <w:tcW w:type="dxa" w:w="103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214.3</w:t>
            </w:r>
          </w:p>
        </w:tc>
        <w:tc>
          <w:tcPr>
            <w:tcW w:type="dxa" w:w="103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171B21"/>
                <w:sz w:val="19"/>
                <w:szCs w:val="19"/>
              </w:rPr>
              <w:t xml:space="preserve">331.0</w:t>
            </w:r>
          </w:p>
        </w:tc>
        <w:tc>
          <w:tcPr>
            <w:tcW w:type="dxa" w:w="103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394.0</w:t>
            </w:r>
          </w:p>
        </w:tc>
        <w:tc>
          <w:tcPr>
            <w:tcW w:type="dxa" w:w="1025"/>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456.1</w:t>
            </w:r>
          </w:p>
        </w:tc>
        <w:tc>
          <w:tcPr>
            <w:tcW w:type="dxa" w:w="1025"/>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523.9</w:t>
            </w:r>
          </w:p>
        </w:tc>
      </w:tr>
      <w:tr>
        <w:tc>
          <w:tcPr>
            <w:tcW w:type="dxa" w:w="21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per simulator</w:t>
            </w:r>
          </w:p>
        </w:tc>
        <w:tc>
          <w:tcPr>
            <w:tcW w:type="dxa" w:w="103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45.6</w:t>
            </w:r>
          </w:p>
        </w:tc>
        <w:tc>
          <w:tcPr>
            <w:tcW w:type="dxa" w:w="103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48.9</w:t>
            </w:r>
          </w:p>
        </w:tc>
        <w:tc>
          <w:tcPr>
            <w:tcW w:type="dxa" w:w="103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53.6</w:t>
            </w:r>
          </w:p>
        </w:tc>
        <w:tc>
          <w:tcPr>
            <w:tcW w:type="dxa" w:w="103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55.2</w:t>
            </w:r>
          </w:p>
        </w:tc>
        <w:tc>
          <w:tcPr>
            <w:tcW w:type="dxa" w:w="103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49.3</w:t>
            </w:r>
          </w:p>
        </w:tc>
        <w:tc>
          <w:tcPr>
            <w:tcW w:type="dxa" w:w="1025"/>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45.6</w:t>
            </w:r>
          </w:p>
        </w:tc>
        <w:tc>
          <w:tcPr>
            <w:tcW w:type="dxa" w:w="1025"/>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43.7</w:t>
            </w:r>
          </w:p>
        </w:tc>
      </w:tr>
      <w:tr>
        <w:tc>
          <w:tcPr>
            <w:tcW w:type="dxa" w:w="21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swap</w:t>
            </w:r>
          </w:p>
        </w:tc>
        <w:tc>
          <w:tcPr>
            <w:tcW w:type="dxa" w:w="103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0</w:t>
            </w:r>
          </w:p>
        </w:tc>
        <w:tc>
          <w:tcPr>
            <w:tcW w:type="dxa" w:w="103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0</w:t>
            </w:r>
          </w:p>
        </w:tc>
        <w:tc>
          <w:tcPr>
            <w:tcW w:type="dxa" w:w="103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0</w:t>
            </w:r>
          </w:p>
        </w:tc>
        <w:tc>
          <w:tcPr>
            <w:tcW w:type="dxa" w:w="103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0</w:t>
            </w:r>
          </w:p>
        </w:tc>
        <w:tc>
          <w:tcPr>
            <w:tcW w:type="dxa" w:w="103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1.7 GB</w:t>
            </w:r>
          </w:p>
        </w:tc>
        <w:tc>
          <w:tcPr>
            <w:tcW w:type="dxa" w:w="1025"/>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4.0 GB</w:t>
            </w:r>
          </w:p>
        </w:tc>
        <w:tc>
          <w:tcPr>
            <w:tcW w:type="dxa" w:w="1025"/>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9.4 GB</w:t>
            </w:r>
          </w:p>
        </w:tc>
      </w:tr>
    </w:tbl>
    <w:p>
      <w:pPr>
        <w:spacing w:after="160"/>
      </w:pPr>
    </w:p>
    <w:p>
      <w:pPr>
        <w:pStyle w:val="Heading2"/>
        <w:spacing w:after="110" w:before="240"/>
      </w:pPr>
      <w:r>
        <w:rPr>
          <w:rFonts w:ascii="Calibri" w:cs="Calibri" w:eastAsia="Calibri" w:hAnsi="Calibri"/>
          <w:b/>
          <w:bCs/>
          <w:color w:val="0D8F86"/>
          <w:sz w:val="23"/>
          <w:szCs w:val="23"/>
        </w:rPr>
        <w:t xml:space="preserve">Shard speedup — parallelism stops paying at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520"/>
        <w:gridCol w:w="1520"/>
        <w:gridCol w:w="1520"/>
        <w:gridCol w:w="1520"/>
        <w:gridCol w:w="1520"/>
      </w:tblGrid>
      <w:tr>
        <w:trPr>
          <w:tblHeader/>
        </w:trPr>
        <w:tc>
          <w:tcPr>
            <w:tcW w:type="dxa" w:w="176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Shards</w:t>
            </w:r>
          </w:p>
        </w:tc>
        <w:tc>
          <w:tcPr>
            <w:tcW w:type="dxa" w:w="152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1</w:t>
            </w:r>
          </w:p>
        </w:tc>
        <w:tc>
          <w:tcPr>
            <w:tcW w:type="dxa" w:w="152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2</w:t>
            </w:r>
          </w:p>
        </w:tc>
        <w:tc>
          <w:tcPr>
            <w:tcW w:type="dxa" w:w="152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4</w:t>
            </w:r>
          </w:p>
        </w:tc>
        <w:tc>
          <w:tcPr>
            <w:tcW w:type="dxa" w:w="152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6</w:t>
            </w:r>
          </w:p>
        </w:tc>
        <w:tc>
          <w:tcPr>
            <w:tcW w:type="dxa" w:w="152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8</w:t>
            </w:r>
          </w:p>
        </w:tc>
      </w:tr>
      <w:tr>
        <w:tc>
          <w:tcPr>
            <w:tcW w:type="dxa" w:w="17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wall time</w:t>
            </w:r>
          </w:p>
        </w:tc>
        <w:tc>
          <w:tcPr>
            <w:tcW w:type="dxa" w:w="152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149 s</w:t>
            </w:r>
          </w:p>
        </w:tc>
        <w:tc>
          <w:tcPr>
            <w:tcW w:type="dxa" w:w="152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171B21"/>
                <w:sz w:val="19"/>
                <w:szCs w:val="19"/>
              </w:rPr>
              <w:t xml:space="preserve">90 s</w:t>
            </w:r>
          </w:p>
        </w:tc>
        <w:tc>
          <w:tcPr>
            <w:tcW w:type="dxa" w:w="152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213 s</w:t>
            </w:r>
          </w:p>
        </w:tc>
        <w:tc>
          <w:tcPr>
            <w:tcW w:type="dxa" w:w="152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370 s</w:t>
            </w:r>
          </w:p>
        </w:tc>
        <w:tc>
          <w:tcPr>
            <w:tcW w:type="dxa" w:w="152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685 s</w:t>
            </w:r>
          </w:p>
        </w:tc>
      </w:tr>
      <w:tr>
        <w:tc>
          <w:tcPr>
            <w:tcW w:type="dxa" w:w="17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speedup</w:t>
            </w:r>
          </w:p>
        </w:tc>
        <w:tc>
          <w:tcPr>
            <w:tcW w:type="dxa" w:w="152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1.00×</w:t>
            </w:r>
          </w:p>
        </w:tc>
        <w:tc>
          <w:tcPr>
            <w:tcW w:type="dxa" w:w="152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1.65×</w:t>
            </w:r>
          </w:p>
        </w:tc>
        <w:tc>
          <w:tcPr>
            <w:tcW w:type="dxa" w:w="152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color w:val="D9622B"/>
                <w:sz w:val="19"/>
                <w:szCs w:val="19"/>
              </w:rPr>
              <w:t xml:space="preserve">0.70×</w:t>
            </w:r>
          </w:p>
        </w:tc>
        <w:tc>
          <w:tcPr>
            <w:tcW w:type="dxa" w:w="152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color w:val="D9622B"/>
                <w:sz w:val="19"/>
                <w:szCs w:val="19"/>
              </w:rPr>
              <w:t xml:space="preserve">0.40×</w:t>
            </w:r>
          </w:p>
        </w:tc>
        <w:tc>
          <w:tcPr>
            <w:tcW w:type="dxa" w:w="152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color w:val="D9622B"/>
                <w:sz w:val="19"/>
                <w:szCs w:val="19"/>
              </w:rPr>
              <w:t xml:space="preserve">0.22×</w:t>
            </w:r>
          </w:p>
        </w:tc>
      </w:tr>
    </w:tbl>
    <w:p>
      <w:pPr>
        <w:spacing w:after="160"/>
      </w:pPr>
    </w:p>
    <w:p>
      <w:pPr>
        <w:spacing w:after="140" w:line="276"/>
      </w:pPr>
      <w:r>
        <w:rPr>
          <w:rFonts w:ascii="Calibri" w:cs="Calibri" w:eastAsia="Calibri" w:hAnsi="Calibri"/>
          <w:color w:val="171B21"/>
          <w:sz w:val="21"/>
          <w:szCs w:val="21"/>
        </w:rPr>
        <w:t xml:space="preserve">On three free cores this same test was a 0.15× slowdown; twelve real cores make 2-way sharding a genuine 1.65× win — and 4-way slower than not sharding at all. Each shard pays 40–90 s of simulator startup before running a test, so sharding pays only while suite-time ÷ n exceeds that cost.</w:t>
      </w:r>
    </w:p>
    <w:p>
      <w:r>
        <w:br w:type="page"/>
      </w:r>
    </w:p>
    <w:p>
      <w:pPr>
        <w:pStyle w:val="Heading1"/>
        <w:pBdr>
          <w:bottom w:val="single" w:color="D9DEE4" w:sz="6" w:space="6"/>
        </w:pBdr>
        <w:spacing w:after="160" w:before="360"/>
      </w:pPr>
      <w:r>
        <w:rPr>
          <w:rFonts w:ascii="Calibri" w:cs="Calibri" w:eastAsia="Calibri" w:hAnsi="Calibri"/>
          <w:b/>
          <w:bCs/>
          <w:color w:val="171B21"/>
          <w:sz w:val="30"/>
          <w:szCs w:val="30"/>
        </w:rPr>
        <w:t xml:space="preserve">5 · The operations reality</w:t>
      </w:r>
    </w:p>
    <w:p>
      <w:pPr>
        <w:spacing w:after="140" w:line="276"/>
      </w:pPr>
      <w:r>
        <w:rPr>
          <w:rFonts w:ascii="Calibri" w:cs="Calibri" w:eastAsia="Calibri" w:hAnsi="Calibri"/>
          <w:b/>
          <w:bCs/>
          <w:color w:val="171B21"/>
          <w:sz w:val="21"/>
          <w:szCs w:val="21"/>
        </w:rPr>
        <w:t xml:space="preserve">We spent roughly half of a 24-hour paid window getting to the first data row.</w:t>
      </w:r>
      <w:r>
        <w:rPr>
          <w:rFonts w:ascii="Calibri" w:cs="Calibri" w:eastAsia="Calibri" w:hAnsi="Calibri"/>
          <w:color w:val="171B21"/>
          <w:sz w:val="21"/>
          <w:szCs w:val="21"/>
        </w:rPr>
        <w:t xml:space="preserve"> Not because the experiment was hard — because acquiring and preparing a cloud Mac is. Every item below cost a failed run or an hour of a billing meter, and every one is now guarded in the repository.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Symptom</w:t>
            </w:r>
          </w:p>
        </w:tc>
        <w:tc>
          <w:tcPr>
            <w:tcW w:type="dxa" w:w="486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Root cause</w:t>
            </w:r>
          </w:p>
        </w:tc>
        <w:tc>
          <w:tcPr>
            <w:tcW w:type="dxa" w:w="2000"/>
            <w:tcBorders>
              <w:top w:val="single" w:color="D9DEE4" w:sz="4"/>
              <w:left w:val="single" w:color="D9DEE4" w:sz="4"/>
              <w:bottom w:val="single" w:color="D9DEE4" w:sz="4"/>
              <w:right w:val="single" w:color="D9DEE4" w:sz="4"/>
            </w:tcBorders>
            <w:shd w:fill="F2F7F6" w:color="auto" w:val="clear"/>
            <w:tcMar>
              <w:top w:type="dxa" w:w="70"/>
              <w:left w:type="dxa" w:w="110"/>
              <w:bottom w:type="dxa" w:w="70"/>
              <w:right w:type="dxa" w:w="110"/>
            </w:tcMar>
          </w:tcPr>
          <w:p>
            <w:pPr>
              <w:spacing w:after="0" w:line="250"/>
            </w:pPr>
            <w:r>
              <w:rPr>
                <w:rFonts w:ascii="Calibri" w:cs="Calibri" w:eastAsia="Calibri" w:hAnsi="Calibri"/>
                <w:b/>
                <w:bCs/>
                <w:color w:val="0D8F86"/>
                <w:sz w:val="19"/>
                <w:szCs w:val="19"/>
              </w:rPr>
              <w:t xml:space="preserve">Cost</w:t>
            </w:r>
          </w:p>
        </w:tc>
      </w:tr>
      <w:tr>
        <w:tc>
          <w:tcPr>
            <w:tcW w:type="dxa" w:w="25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InsufficientHostCapacity, repeatedly</w:t>
            </w:r>
          </w:p>
        </w:tc>
        <w:tc>
          <w:tcPr>
            <w:tcW w:type="dxa" w:w="48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Quota ≠ capacity. Approval grants permission, not inventory; the type existed in 2 of 6 AZs</w:t>
            </w:r>
          </w:p>
        </w:tc>
        <w:tc>
          <w:tcPr>
            <w:tcW w:type="dxa" w:w="20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10 attempts over ~6 h</w:t>
            </w:r>
          </w:p>
        </w:tc>
      </w:tr>
      <w:tr>
        <w:tc>
          <w:tcPr>
            <w:tcW w:type="dxa" w:w="25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InvalidHostId on a host we just allocated</w:t>
            </w:r>
          </w:p>
        </w:tc>
        <w:tc>
          <w:tcPr>
            <w:tcW w:type="dxa" w:w="48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A fresh Mac host sits pending ~50 min; AWS reports launches onto it with a misleading error</w:t>
            </w:r>
          </w:p>
        </w:tc>
        <w:tc>
          <w:tcPr>
            <w:tcW w:type="dxa" w:w="20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 failed run + 50 min</w:t>
            </w:r>
          </w:p>
        </w:tc>
      </w:tr>
      <w:tr>
        <w:tc>
          <w:tcPr>
            <w:tcW w:type="dxa" w:w="25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No SSH possible at all</w:t>
            </w:r>
          </w:p>
        </w:tc>
        <w:tc>
          <w:tcPr>
            <w:tcW w:type="dxa" w:w="48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Lost key pair; AWS cannot re-issue. Recovered via SSM. The AMI also shipped with no sshd host keys</w:t>
            </w:r>
          </w:p>
        </w:tc>
        <w:tc>
          <w:tcPr>
            <w:tcW w:type="dxa" w:w="20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 h</w:t>
            </w:r>
          </w:p>
        </w:tc>
      </w:tr>
      <w:tr>
        <w:tc>
          <w:tcPr>
            <w:tcW w:type="dxa" w:w="25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xcodebuild: requires Xcode</w:t>
            </w:r>
          </w:p>
        </w:tc>
        <w:tc>
          <w:tcPr>
            <w:tcW w:type="dxa" w:w="48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The AMI has no Xcode. The CLI installer compiles from source — which needs Xcode</w:t>
            </w:r>
          </w:p>
        </w:tc>
        <w:tc>
          <w:tcPr>
            <w:tcW w:type="dxa" w:w="20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~1.5 h</w:t>
            </w:r>
          </w:p>
        </w:tc>
      </w:tr>
      <w:tr>
        <w:tc>
          <w:tcPr>
            <w:tcW w:type="dxa" w:w="25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Ladder died at N=16; runner died with it</w:t>
            </w:r>
          </w:p>
        </w:tc>
        <w:tc>
          <w:tcPr>
            <w:tcW w:type="dxa" w:w="48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Disk: booted sims materialise ~0.5–1 GB each; ENOSPC killed the CI agent before results published</w:t>
            </w:r>
          </w:p>
        </w:tc>
        <w:tc>
          <w:tcPr>
            <w:tcW w:type="dxa" w:w="20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1 lost ladder</w:t>
            </w:r>
          </w:p>
        </w:tc>
      </w:tr>
      <w:tr>
        <w:tc>
          <w:tcPr>
            <w:tcW w:type="dxa" w:w="25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Grown EBS volume invisible to macOS</w:t>
            </w:r>
          </w:p>
        </w:tc>
        <w:tc>
          <w:tcPr>
            <w:tcW w:type="dxa" w:w="48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Capacity is cached on EC2 Mac until the instance reboots (never stop — that scrubs the host)</w:t>
            </w:r>
          </w:p>
        </w:tc>
        <w:tc>
          <w:tcPr>
            <w:tcW w:type="dxa" w:w="20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val="false"/>
                <w:bCs w:val="false"/>
                <w:sz w:val="19"/>
                <w:szCs w:val="19"/>
              </w:rPr>
              <w:t xml:space="preserve">~40 min</w:t>
            </w:r>
          </w:p>
        </w:tc>
      </w:tr>
      <w:tr>
        <w:tc>
          <w:tcPr>
            <w:tcW w:type="dxa" w:w="25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171B21"/>
                <w:sz w:val="19"/>
                <w:szCs w:val="19"/>
              </w:rPr>
              <w:t xml:space="preserve">Box accepted jobs, executed nothing, for 13 h</w:t>
            </w:r>
          </w:p>
        </w:tc>
        <w:tc>
          <w:tcPr>
            <w:tcW w:type="dxa" w:w="486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171B21"/>
                <w:sz w:val="19"/>
                <w:szCs w:val="19"/>
              </w:rPr>
              <w:t xml:space="preserve">The process wall takes the harness with it. Failed boots leak processes simctl will not reap until fork() fails for everything — including the CI runner and any recovery job</w:t>
            </w:r>
          </w:p>
        </w:tc>
        <w:tc>
          <w:tcPr>
            <w:tcW w:type="dxa" w:w="200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line="250"/>
            </w:pPr>
            <w:r>
              <w:rPr>
                <w:rFonts w:ascii="Calibri" w:cs="Calibri" w:eastAsia="Calibri" w:hAnsi="Calibri"/>
                <w:b/>
                <w:bCs/>
                <w:color w:val="D9622B"/>
                <w:sz w:val="19"/>
                <w:szCs w:val="19"/>
              </w:rPr>
              <w:t xml:space="preserve">~13 h billed idle</w:t>
            </w:r>
          </w:p>
        </w:tc>
      </w:tr>
    </w:tbl>
    <w:p>
      <w:pPr>
        <w:spacing w:after="180"/>
      </w:pPr>
    </w:p>
    <w:p>
      <w:pPr>
        <w:spacing w:after="140" w:line="276"/>
      </w:pPr>
      <w:r>
        <w:rPr>
          <w:rFonts w:ascii="Calibri" w:cs="Calibri" w:eastAsia="Calibri" w:hAnsi="Calibri"/>
          <w:b/>
          <w:bCs/>
          <w:color w:val="171B21"/>
          <w:sz w:val="21"/>
          <w:szCs w:val="21"/>
        </w:rPr>
        <w:t xml:space="preserve">Two structural lessons.</w:t>
      </w:r>
      <w:r>
        <w:rPr>
          <w:rFonts w:ascii="Calibri" w:cs="Calibri" w:eastAsia="Calibri" w:hAnsi="Calibri"/>
          <w:color w:val="171B21"/>
          <w:sz w:val="21"/>
          <w:szCs w:val="21"/>
        </w:rPr>
        <w:t xml:space="preserve"> Results must be durable per trial, not collected at the end — twice the host died holding data, and both times a rescue path saved the run. And the rig must survive the failure it measures: a density experiment drives hardware to collapse by design, and if the collapse kills the observer you get an outage instead of a data point.</w:t>
      </w:r>
    </w:p>
    <w:p>
      <w:pPr>
        <w:pStyle w:val="Heading1"/>
        <w:pBdr>
          <w:bottom w:val="single" w:color="D9DEE4" w:sz="6" w:space="6"/>
        </w:pBdr>
        <w:spacing w:after="160" w:before="360"/>
      </w:pPr>
      <w:r>
        <w:rPr>
          <w:rFonts w:ascii="Calibri" w:cs="Calibri" w:eastAsia="Calibri" w:hAnsi="Calibri"/>
          <w:b/>
          <w:bCs/>
          <w:color w:val="171B21"/>
          <w:sz w:val="30"/>
          <w:szCs w:val="30"/>
        </w:rPr>
        <w:t xml:space="preserve">6 · Where the market gap actually is</w:t>
      </w:r>
    </w:p>
    <w:p>
      <w:pPr>
        <w:spacing w:after="140" w:line="276"/>
      </w:pPr>
      <w:r>
        <w:rPr>
          <w:rFonts w:ascii="Calibri" w:cs="Calibri" w:eastAsia="Calibri" w:hAnsi="Calibri"/>
          <w:color w:val="171B21"/>
          <w:sz w:val="21"/>
          <w:szCs w:val="21"/>
        </w:rPr>
        <w:t xml:space="preserve">Be clear-eyed about who already occupies this market. MacStadium (with Orka) and the CI vendors — CircleCI, Bitrise, Codemagic — have solved VM-slicing on Mac metal and hide the 24-hour lease behind per-minute pricing. Rebuilding that is late and undifferentiated. AWS, meanwhile, owns the only hyperscaler Apple-silicon fleet and packages it worst.</w:t>
      </w:r>
    </w:p>
    <w:p>
      <w:pPr>
        <w:spacing w:after="140" w:line="276"/>
      </w:pPr>
      <w:r>
        <w:rPr>
          <w:rFonts w:ascii="Calibri" w:cs="Calibri" w:eastAsia="Calibri" w:hAnsi="Calibri"/>
          <w:b/>
          <w:bCs/>
          <w:color w:val="171B21"/>
          <w:sz w:val="21"/>
          <w:szCs w:val="21"/>
        </w:rPr>
        <w:t xml:space="preserve">The unclaimed layer is one step up: nobody sells parallel simulator capacity as a product.</w:t>
      </w:r>
      <w:r>
        <w:rPr>
          <w:rFonts w:ascii="Calibri" w:cs="Calibri" w:eastAsia="Calibri" w:hAnsi="Calibri"/>
          <w:color w:val="171B21"/>
          <w:sz w:val="21"/>
          <w:szCs w:val="21"/>
        </w:rPr>
        <w:t xml:space="preserve"> Every vendor sells a machine or a VM and leaves the customer to discover — as we did, expensively — how many simulators fit and where the returns stop. A service where a team requests "40 iOS 26 simulators for 20 minutes", billed by simulator-minute against a published density model, sells the outcome teams want rather than the hardware they must first learn to operate.</w:t>
      </w:r>
    </w:p>
    <w:p>
      <w:pPr>
        <w:spacing w:after="140" w:line="276"/>
      </w:pPr>
      <w:r>
        <w:rPr>
          <w:rFonts w:ascii="Calibri" w:cs="Calibri" w:eastAsia="Calibri" w:hAnsi="Calibri"/>
          <w:b/>
          <w:bCs/>
          <w:color w:val="171B21"/>
          <w:sz w:val="21"/>
          <w:szCs w:val="21"/>
        </w:rPr>
        <w:t xml:space="preserve">The hyperscaler-specific wedge</w:t>
      </w:r>
      <w:r>
        <w:rPr>
          <w:rFonts w:ascii="Calibri" w:cs="Calibri" w:eastAsia="Calibri" w:hAnsi="Calibri"/>
          <w:color w:val="171B21"/>
          <w:sz w:val="21"/>
          <w:szCs w:val="21"/>
        </w:rPr>
        <w:t xml:space="preserve"> is what a specialist structurally cannot match: native IAM/VPC/artifact integration, data-residency guarantees, and reservable capacity at scale — turning the capacity lottery above into an SLA.</w:t>
      </w:r>
    </w:p>
    <w:p>
      <w:pPr>
        <w:spacing w:after="140" w:line="276"/>
      </w:pPr>
      <w:r>
        <w:rPr>
          <w:rFonts w:ascii="Calibri" w:cs="Calibri" w:eastAsia="Calibri" w:hAnsi="Calibri"/>
          <w:b/>
          <w:bCs/>
          <w:color w:val="171B21"/>
          <w:sz w:val="21"/>
          <w:szCs w:val="21"/>
        </w:rPr>
        <w:t xml:space="preserve">The counterweight a serious review must state.</w:t>
      </w:r>
      <w:r>
        <w:rPr>
          <w:rFonts w:ascii="Calibri" w:cs="Calibri" w:eastAsia="Calibri" w:hAnsi="Calibri"/>
          <w:color w:val="171B21"/>
          <w:sz w:val="21"/>
          <w:szCs w:val="21"/>
        </w:rPr>
        <w:t xml:space="preserve"> Apple’s licensing terms cap the achievable margin; Mac fleets are capex-heavy and refresh on Apple’s schedule; and the specialist incumbent has not scaled to hyperscale — evidence either of a limited TAM or of an unclaimed seat. This study cannot settle which. It does quantify the customer pain precisely enough to price the bet.</w:t>
      </w:r>
    </w:p>
    <w:p>
      <w:pPr>
        <w:pStyle w:val="Heading1"/>
        <w:pBdr>
          <w:bottom w:val="single" w:color="D9DEE4" w:sz="6" w:space="6"/>
        </w:pBdr>
        <w:spacing w:after="160" w:before="360"/>
      </w:pPr>
      <w:r>
        <w:rPr>
          <w:rFonts w:ascii="Calibri" w:cs="Calibri" w:eastAsia="Calibri" w:hAnsi="Calibri"/>
          <w:b/>
          <w:bCs/>
          <w:color w:val="171B21"/>
          <w:sz w:val="30"/>
          <w:szCs w:val="30"/>
        </w:rPr>
        <w:t xml:space="preserve">7 · Reproducing this</w:t>
      </w:r>
    </w:p>
    <w:p>
      <w:pPr>
        <w:spacing w:after="140" w:line="276"/>
      </w:pPr>
      <w:r>
        <w:rPr>
          <w:rFonts w:ascii="Calibri" w:cs="Calibri" w:eastAsia="Calibri" w:hAnsi="Calibri"/>
          <w:color w:val="171B21"/>
          <w:sz w:val="21"/>
          <w:szCs w:val="21"/>
        </w:rPr>
        <w:t xml:space="preserve">Everything in this study is open and re-runnable. The harness runs on any OS against fault-injectable mocks, on free hosted macOS runners, and on a paid host — in that order, by design.</w:t>
      </w:r>
    </w:p>
    <w:p>
      <w:pPr>
        <w:spacing w:after="140"/>
      </w:pPr>
      <w:r>
        <w:rPr>
          <w:rFonts w:ascii="Calibri" w:cs="Calibri" w:eastAsia="Calibri" w:hAnsi="Calibri"/>
          <w:b/>
          <w:bCs/>
          <w:sz w:val="21"/>
          <w:szCs w:val="21"/>
        </w:rPr>
        <w:t xml:space="preserve">Repository:  </w:t>
      </w:r>
      <w:hyperlink w:history="1" r:id="rId4autcmanohm98qr098joa">
        <w:r>
          <w:rPr>
            <w:rStyle w:val="Hyperlink"/>
            <w:rFonts w:ascii="Calibri" w:cs="Calibri" w:eastAsia="Calibri" w:hAnsi="Calibri"/>
            <w:sz w:val="21"/>
            <w:szCs w:val="21"/>
          </w:rPr>
          <w:t xml:space="preserve">github.com/PGRBryant/awsEC2iOS-test</w:t>
        </w:r>
      </w:hyperlink>
    </w:p>
    <w:p>
      <w:pPr>
        <w:pStyle w:val="ListParagraph"/>
        <w:numPr>
          <w:ilvl w:val="0"/>
          <w:numId w:val="2"/>
        </w:numPr>
        <w:spacing w:after="110" w:line="276"/>
      </w:pPr>
      <w:r>
        <w:rPr>
          <w:rFonts w:ascii="Calibri" w:cs="Calibri" w:eastAsia="Calibri" w:hAnsi="Calibri"/>
          <w:color w:val="171B21"/>
          <w:sz w:val="21"/>
          <w:szCs w:val="21"/>
        </w:rPr>
        <w:t xml:space="preserve">make dryrun</w:t>
      </w:r>
      <w:r>
        <w:rPr>
          <w:rFonts w:ascii="Calibri" w:cs="Calibri" w:eastAsia="Calibri" w:hAnsi="Calibri"/>
          <w:color w:val="171B21"/>
          <w:sz w:val="21"/>
          <w:szCs w:val="21"/>
        </w:rPr>
        <w:t xml:space="preserve"> — the full sweep against mocks, any OS, in seconds.</w:t>
      </w:r>
    </w:p>
    <w:p>
      <w:pPr>
        <w:pStyle w:val="ListParagraph"/>
        <w:numPr>
          <w:ilvl w:val="0"/>
          <w:numId w:val="2"/>
        </w:numPr>
        <w:spacing w:after="110" w:line="276"/>
      </w:pPr>
      <w:r>
        <w:rPr>
          <w:rFonts w:ascii="Calibri" w:cs="Calibri" w:eastAsia="Calibri" w:hAnsi="Calibri"/>
          <w:color w:val="171B21"/>
          <w:sz w:val="21"/>
          <w:szCs w:val="21"/>
        </w:rPr>
        <w:t xml:space="preserve">docs/PAPER.md</w:t>
      </w:r>
      <w:r>
        <w:rPr>
          <w:rFonts w:ascii="Calibri" w:cs="Calibri" w:eastAsia="Calibri" w:hAnsi="Calibri"/>
          <w:color w:val="171B21"/>
          <w:sz w:val="21"/>
          <w:szCs w:val="21"/>
        </w:rPr>
        <w:t xml:space="preserve"> — the complete study, including the run-day timeline and harness reference appendices.</w:t>
      </w:r>
    </w:p>
    <w:p>
      <w:pPr>
        <w:pStyle w:val="ListParagraph"/>
        <w:numPr>
          <w:ilvl w:val="0"/>
          <w:numId w:val="2"/>
        </w:numPr>
        <w:spacing w:after="110" w:line="276"/>
      </w:pPr>
      <w:r>
        <w:rPr>
          <w:rFonts w:ascii="Calibri" w:cs="Calibri" w:eastAsia="Calibri" w:hAnsi="Calibri"/>
          <w:color w:val="171B21"/>
          <w:sz w:val="21"/>
          <w:szCs w:val="21"/>
        </w:rPr>
        <w:t xml:space="preserve">docs/snapshots/</w:t>
      </w:r>
      <w:r>
        <w:rPr>
          <w:rFonts w:ascii="Calibri" w:cs="Calibri" w:eastAsia="Calibri" w:hAnsi="Calibri"/>
          <w:color w:val="171B21"/>
          <w:sz w:val="21"/>
          <w:szCs w:val="21"/>
        </w:rPr>
        <w:t xml:space="preserve"> — self-contained dashboards for each measurement ladder.</w:t>
      </w:r>
    </w:p>
    <w:p>
      <w:pPr>
        <w:pStyle w:val="ListParagraph"/>
        <w:numPr>
          <w:ilvl w:val="0"/>
          <w:numId w:val="2"/>
        </w:numPr>
        <w:spacing w:after="110" w:line="276"/>
      </w:pPr>
      <w:r>
        <w:rPr>
          <w:rFonts w:ascii="Calibri" w:cs="Calibri" w:eastAsia="Calibri" w:hAnsi="Calibri"/>
          <w:color w:val="171B21"/>
          <w:sz w:val="21"/>
          <w:szCs w:val="21"/>
        </w:rPr>
        <w:t xml:space="preserve">ec2-results</w:t>
      </w:r>
      <w:r>
        <w:rPr>
          <w:rFonts w:ascii="Calibri" w:cs="Calibri" w:eastAsia="Calibri" w:hAnsi="Calibri"/>
          <w:color w:val="171B21"/>
          <w:sz w:val="21"/>
          <w:szCs w:val="21"/>
        </w:rPr>
        <w:t xml:space="preserve"> branch — every raw CSV and per-second resource timeline behind the numbers above.</w:t>
      </w:r>
    </w:p>
    <w:p>
      <w:pPr>
        <w:spacing w:after="120"/>
      </w:pPr>
    </w:p>
    <w:p>
      <w:pPr>
        <w:spacing w:after="140" w:line="276"/>
      </w:pPr>
      <w:r>
        <w:rPr>
          <w:rFonts w:ascii="Calibri" w:cs="Calibri" w:eastAsia="Calibri" w:hAnsi="Calibri"/>
          <w:i/>
          <w:iCs/>
          <w:color w:val="667080"/>
          <w:sz w:val="19"/>
          <w:szCs w:val="19"/>
        </w:rPr>
        <w:t xml:space="preserve">No credentials exist anywhere in the system: CI assumes an AWS role via GitHub OIDC, and revoking access means deleting one role.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0"/>
        <w:sz w:val="17"/>
        <w:szCs w:val="17"/>
      </w:rPr>
      <w:t xml:space="preserve">github.com/PGRBryant/awsEC2iOS-test  ·  page </w:t>
    </w:r>
    <w:r>
      <w:rPr>
        <w:rFonts w:ascii="Calibri" w:cs="Calibri" w:eastAsia="Calibri" w:hAnsi="Calibri"/>
        <w:color w:val="667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0D8F8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autcmanohm98qr098joa" Type="http://schemas.openxmlformats.org/officeDocument/2006/relationships/hyperlink" Target="https://github.com/PGRBryant/awsEC2iOS-tes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iOS Simulators Can One Cloud Mac Actually Run?</dc:title>
  <dc:creator>SimDensity study</dc:creator>
  <dc:description>Density, economics and operations study of iOS simulator CI on AWS EC2 Mac</dc:description>
  <cp:lastModifiedBy>Un-named</cp:lastModifiedBy>
  <cp:revision>1</cp:revision>
  <dcterms:created xsi:type="dcterms:W3CDTF">2026-08-17T03:46:22.500Z</dcterms:created>
  <dcterms:modified xsi:type="dcterms:W3CDTF">2026-08-17T03:46:22.500Z</dcterms:modified>
</cp:coreProperties>
</file>

<file path=docProps/custom.xml><?xml version="1.0" encoding="utf-8"?>
<Properties xmlns="http://schemas.openxmlformats.org/officeDocument/2006/custom-properties" xmlns:vt="http://schemas.openxmlformats.org/officeDocument/2006/docPropsVTypes"/>
</file>