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样本编号：23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23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私域流量运营对电商品牌的战略价值分析报告</w:t>
      </w:r>
    </w:p>
    <w:p/>
    <w:p>
      <w:pPr>
        <w:pStyle w:val="Heading2"/>
      </w:pPr>
      <w:r>
        <w:rPr>
          <w:sz w:val="25"/>
        </w:rPr>
        <w:t>一、核心战略价值分析</w:t>
      </w:r>
    </w:p>
    <w:p/>
    <w:p>
      <w:pPr>
        <w:pStyle w:val="Heading3"/>
      </w:pPr>
      <w:r>
        <w:rPr>
          <w:sz w:val="23"/>
        </w:rPr>
        <w:t>1. 用户资产自主化</w:t>
      </w:r>
    </w:p>
    <w:p>
      <w:pPr>
        <w:pStyle w:val="ListBullet"/>
      </w:pPr>
      <w:r>
        <w:rPr>
          <w:b/>
          <w:sz w:val="21"/>
        </w:rPr>
        <w:t>摆脱平台依赖</w:t>
      </w:r>
      <w:r>
        <w:rPr>
          <w:sz w:val="21"/>
        </w:rPr>
        <w:t>：建立品牌直接触达用户的渠道，降低对第三方平台的流量依赖</w:t>
      </w:r>
    </w:p>
    <w:p>
      <w:pPr>
        <w:pStyle w:val="ListBullet"/>
      </w:pPr>
      <w:r>
        <w:rPr>
          <w:b/>
          <w:sz w:val="21"/>
        </w:rPr>
        <w:t>数据资产沉淀</w:t>
      </w:r>
      <w:r>
        <w:rPr>
          <w:sz w:val="21"/>
        </w:rPr>
        <w:t>：积累第一方用户数据，形成品牌专属的数字资产库</w:t>
      </w:r>
    </w:p>
    <w:p>
      <w:pPr>
        <w:pStyle w:val="ListBullet"/>
      </w:pPr>
      <w:r>
        <w:rPr>
          <w:b/>
          <w:sz w:val="21"/>
        </w:rPr>
        <w:t>生命周期管理</w:t>
      </w:r>
      <w:r>
        <w:rPr>
          <w:sz w:val="21"/>
        </w:rPr>
        <w:t>：实现从获客、激活、留存到转化的全周期用户运营</w:t>
      </w:r>
    </w:p>
    <w:p/>
    <w:p>
      <w:pPr>
        <w:pStyle w:val="Heading3"/>
      </w:pPr>
      <w:r>
        <w:rPr>
          <w:sz w:val="23"/>
        </w:rPr>
        <w:t>2. 成本效率优化</w:t>
      </w:r>
    </w:p>
    <w:p>
      <w:pPr>
        <w:pStyle w:val="ListBullet"/>
      </w:pPr>
      <w:r>
        <w:rPr>
          <w:b/>
          <w:sz w:val="21"/>
        </w:rPr>
        <w:t>获客成本降低</w:t>
      </w:r>
      <w:r>
        <w:rPr>
          <w:sz w:val="21"/>
        </w:rPr>
        <w:t>：相比公域流量持续上涨的成本，私域流量边际成本递减</w:t>
      </w:r>
    </w:p>
    <w:p>
      <w:pPr>
        <w:pStyle w:val="ListBullet"/>
      </w:pPr>
      <w:r>
        <w:rPr>
          <w:b/>
          <w:sz w:val="21"/>
        </w:rPr>
        <w:t>复购率提升</w:t>
      </w:r>
      <w:r>
        <w:rPr>
          <w:sz w:val="21"/>
        </w:rPr>
        <w:t>：通过精细化运营，预计可将用户复购率提升30-50%</w:t>
      </w:r>
    </w:p>
    <w:p>
      <w:pPr>
        <w:pStyle w:val="ListBullet"/>
      </w:pPr>
      <w:r>
        <w:rPr>
          <w:b/>
          <w:sz w:val="21"/>
        </w:rPr>
        <w:t>LTV最大化</w:t>
      </w:r>
      <w:r>
        <w:rPr>
          <w:sz w:val="21"/>
        </w:rPr>
        <w:t>：延长用户生命周期价值，平均用户价值可提升2-3倍</w:t>
      </w:r>
    </w:p>
    <w:p/>
    <w:p>
      <w:pPr>
        <w:pStyle w:val="Heading3"/>
      </w:pPr>
      <w:r>
        <w:rPr>
          <w:sz w:val="23"/>
        </w:rPr>
        <w:t>3. 品牌关系深化</w:t>
      </w:r>
    </w:p>
    <w:p>
      <w:pPr>
        <w:pStyle w:val="ListBullet"/>
      </w:pPr>
      <w:r>
        <w:rPr>
          <w:b/>
          <w:sz w:val="21"/>
        </w:rPr>
        <w:t>信任建立</w:t>
      </w:r>
      <w:r>
        <w:rPr>
          <w:sz w:val="21"/>
        </w:rPr>
        <w:t>：通过持续互动建立品牌与用户的深度信任关系</w:t>
      </w:r>
    </w:p>
    <w:p>
      <w:pPr>
        <w:pStyle w:val="ListBullet"/>
      </w:pPr>
      <w:r>
        <w:rPr>
          <w:b/>
          <w:sz w:val="21"/>
        </w:rPr>
        <w:t>情感连接</w:t>
      </w:r>
      <w:r>
        <w:rPr>
          <w:sz w:val="21"/>
        </w:rPr>
        <w:t>：打造品牌社群，形成用户归属感和身份认同</w:t>
      </w:r>
    </w:p>
    <w:p>
      <w:pPr>
        <w:pStyle w:val="ListBullet"/>
      </w:pPr>
      <w:r>
        <w:rPr>
          <w:b/>
          <w:sz w:val="21"/>
        </w:rPr>
        <w:t>口碑传播</w:t>
      </w:r>
      <w:r>
        <w:rPr>
          <w:sz w:val="21"/>
        </w:rPr>
        <w:t>：培养品牌KOC（关键意见消费者），实现低成本裂变传播</w:t>
      </w:r>
    </w:p>
    <w:p/>
    <w:p>
      <w:pPr>
        <w:pStyle w:val="Heading2"/>
      </w:pPr>
      <w:r>
        <w:rPr>
          <w:sz w:val="25"/>
        </w:rPr>
        <w:t>二、实施路径与策略</w:t>
      </w:r>
    </w:p>
    <w:p/>
    <w:p>
      <w:pPr>
        <w:pStyle w:val="Heading3"/>
      </w:pPr>
      <w:r>
        <w:rPr>
          <w:sz w:val="23"/>
        </w:rPr>
        <w:t>阶段一：基础建设（第1-3个月）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1. 渠道矩阵搭建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微信生态：公众号+小程序+企业微信+社群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品牌自有APP/官网会员体系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社交媒体品牌账号联动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2. 内容体系规划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教育型内容：产品知识、使用技巧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互动型内容：用户故事、UGC征集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促销型内容：专属优惠、会员特权</w:t>
      </w:r>
    </w:p>
    <w:p/>
    <w:p>
      <w:pPr>
        <w:pStyle w:val="Heading3"/>
      </w:pPr>
      <w:r>
        <w:rPr>
          <w:sz w:val="23"/>
        </w:rPr>
        <w:t>阶段二：用户沉淀（第4-6个月）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1. 引流策略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公域转私域：包裹卡、客服引导、广告投放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线上线下融合：门店引流、活动二维码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裂变机制：老带新奖励、分享有礼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2. 分层运营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RFM模型用户分层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个性化内容推送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专属客服通道</w:t>
      </w:r>
    </w:p>
    <w:p/>
    <w:p>
      <w:pPr>
        <w:pStyle w:val="Heading3"/>
      </w:pPr>
      <w:r>
        <w:rPr>
          <w:sz w:val="23"/>
        </w:rPr>
        <w:t>阶段三：价值深化（第7-12个月）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1. 会员体系升级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积分商城建设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等级特权设计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付费会员模式探索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2. 数据驱动优化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用户行为分析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A/B测试迭代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 xml:space="preserve">   - ROI持续监控</w:t>
      </w:r>
    </w:p>
    <w:p/>
    <w:p>
      <w:pPr>
        <w:pStyle w:val="Heading2"/>
      </w:pPr>
      <w:r>
        <w:rPr>
          <w:sz w:val="25"/>
        </w:rPr>
        <w:t>三、资源配置与执行</w:t>
      </w:r>
    </w:p>
    <w:p/>
    <w:p>
      <w:pPr>
        <w:pStyle w:val="Heading3"/>
      </w:pPr>
      <w:r>
        <w:rPr>
          <w:sz w:val="23"/>
        </w:rPr>
        <w:t>团队架构（5人团队）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项目经理（1人）：整体规划与协调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内容创作组（2人）：文案/视觉/视频内容生产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运营专员（2人）：社群运营+用户互动+数据分析</w:t>
      </w:r>
    </w:p>
    <w:p/>
    <w:p>
      <w:pPr>
        <w:pStyle w:val="Heading3"/>
      </w:pPr>
      <w:r>
        <w:rPr>
          <w:sz w:val="23"/>
        </w:rPr>
        <w:t>预算分配（50万元/年）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技术开发：10万元（小程序/CRM工具）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内容创作：20万元（图文/视频/活动物料）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人力资源：10万元（团队薪酬）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运营维护：10万元（工具订阅/活动经费）</w:t>
      </w:r>
    </w:p>
    <w:p/>
    <w:p>
      <w:pPr>
        <w:pStyle w:val="Heading3"/>
      </w:pPr>
      <w:r>
        <w:rPr>
          <w:sz w:val="23"/>
        </w:rPr>
        <w:t>关键时间节点</w:t>
      </w:r>
    </w:p>
    <w:p>
      <w:pPr>
        <w:pStyle w:val="ListBullet"/>
      </w:pPr>
      <w:r>
        <w:rPr>
          <w:b/>
          <w:sz w:val="21"/>
        </w:rPr>
        <w:t>Q1</w:t>
      </w:r>
      <w:r>
        <w:rPr>
          <w:sz w:val="21"/>
        </w:rPr>
        <w:t>：完成基础建设，用户沉淀达1万人</w:t>
      </w:r>
    </w:p>
    <w:p>
      <w:pPr>
        <w:pStyle w:val="ListBullet"/>
      </w:pPr>
      <w:r>
        <w:rPr>
          <w:b/>
          <w:sz w:val="21"/>
        </w:rPr>
        <w:t>Q2</w:t>
      </w:r>
      <w:r>
        <w:rPr>
          <w:sz w:val="21"/>
        </w:rPr>
        <w:t>：实现月活跃度30%，首月复购率15%</w:t>
      </w:r>
    </w:p>
    <w:p>
      <w:pPr>
        <w:pStyle w:val="ListBullet"/>
      </w:pPr>
      <w:r>
        <w:rPr>
          <w:b/>
          <w:sz w:val="21"/>
        </w:rPr>
        <w:t>Q3</w:t>
      </w:r>
      <w:r>
        <w:rPr>
          <w:sz w:val="21"/>
        </w:rPr>
        <w:t>：会员体系上线，付费用户占比达5%</w:t>
      </w:r>
    </w:p>
    <w:p>
      <w:pPr>
        <w:pStyle w:val="ListBullet"/>
      </w:pPr>
      <w:r>
        <w:rPr>
          <w:b/>
          <w:sz w:val="21"/>
        </w:rPr>
        <w:t>Q4</w:t>
      </w:r>
      <w:r>
        <w:rPr>
          <w:sz w:val="21"/>
        </w:rPr>
        <w:t>：私域GMV贡献占比达20%，ROI≥3</w:t>
      </w:r>
    </w:p>
    <w:p/>
    <w:p>
      <w:pPr>
        <w:pStyle w:val="Heading2"/>
      </w:pPr>
      <w:r>
        <w:rPr>
          <w:sz w:val="25"/>
        </w:rPr>
        <w:t>四、风险控制与评估</w:t>
      </w:r>
    </w:p>
    <w:p/>
    <w:p>
      <w:pPr>
        <w:pStyle w:val="Heading3"/>
      </w:pPr>
      <w:r>
        <w:rPr>
          <w:sz w:val="23"/>
        </w:rPr>
        <w:t>潜在风险</w:t>
      </w:r>
    </w:p>
    <w:p>
      <w:pPr>
        <w:pStyle w:val="ListNumber"/>
      </w:pPr>
      <w:r>
        <w:rPr>
          <w:b/>
          <w:sz w:val="21"/>
        </w:rPr>
        <w:t>用户疲劳</w:t>
      </w:r>
      <w:r>
        <w:rPr>
          <w:sz w:val="21"/>
        </w:rPr>
        <w:t>：过度营销导致用户流失</w:t>
      </w:r>
    </w:p>
    <w:p>
      <w:pPr>
        <w:pStyle w:val="ListNumber"/>
      </w:pPr>
      <w:r>
        <w:rPr>
          <w:b/>
          <w:sz w:val="21"/>
        </w:rPr>
        <w:t>内容同质化</w:t>
      </w:r>
      <w:r>
        <w:rPr>
          <w:sz w:val="21"/>
        </w:rPr>
        <w:t>：缺乏创新难以维持用户兴趣</w:t>
      </w:r>
    </w:p>
    <w:p>
      <w:pPr>
        <w:pStyle w:val="ListNumber"/>
      </w:pPr>
      <w:r>
        <w:rPr>
          <w:b/>
          <w:sz w:val="21"/>
        </w:rPr>
        <w:t>数据安全</w:t>
      </w:r>
      <w:r>
        <w:rPr>
          <w:sz w:val="21"/>
        </w:rPr>
        <w:t>：用户隐私保护合规性</w:t>
      </w:r>
    </w:p>
    <w:p/>
    <w:p>
      <w:pPr>
        <w:pStyle w:val="Heading3"/>
      </w:pPr>
      <w:r>
        <w:rPr>
          <w:sz w:val="23"/>
        </w:rPr>
        <w:t>应对措施</w:t>
      </w:r>
    </w:p>
    <w:p>
      <w:pPr>
        <w:pStyle w:val="ListBullet"/>
      </w:pPr>
      <w:r>
        <w:rPr>
          <w:sz w:val="21"/>
        </w:rPr>
        <w:t>建立用户反馈机制，及时调整运营策略</w:t>
      </w:r>
    </w:p>
    <w:p>
      <w:pPr>
        <w:pStyle w:val="ListBullet"/>
      </w:pPr>
      <w:r>
        <w:rPr>
          <w:sz w:val="21"/>
        </w:rPr>
        <w:t>每月进行竞品分析，保持内容创新</w:t>
      </w:r>
    </w:p>
    <w:p>
      <w:pPr>
        <w:pStyle w:val="ListBullet"/>
      </w:pPr>
      <w:r>
        <w:rPr>
          <w:sz w:val="21"/>
        </w:rPr>
        <w:t>严格遵守《个人信息保护法》，建立数据安全体系</w:t>
      </w:r>
    </w:p>
    <w:p/>
    <w:p>
      <w:pPr>
        <w:pStyle w:val="Heading3"/>
      </w:pPr>
      <w:r>
        <w:rPr>
          <w:sz w:val="23"/>
        </w:rPr>
        <w:t>评估指标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核心指标：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私域用户增长率（月均≥15%）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社群活跃度（日活≥20%）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私域转化率（≥公域1.5倍）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用户满意度（NPS≥40）</w:t>
      </w:r>
    </w:p>
    <w:p>
      <w:pPr>
        <w:ind w:left="480"/>
      </w:pPr>
    </w:p>
    <w:p>
      <w:pPr>
        <w:ind w:left="480"/>
      </w:pPr>
      <w:r>
        <w:rPr>
          <w:rFonts w:ascii="Courier New" w:hAnsi="Courier New"/>
          <w:color w:val="333333"/>
          <w:sz w:val="18"/>
        </w:rPr>
        <w:t>财务指标：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CAC降低幅度（目标：降低30%）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LTV提升比例（目标：提升50%）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私域ROI（目标：≥3:1）</w:t>
      </w:r>
    </w:p>
    <w:p/>
    <w:p>
      <w:pPr>
        <w:pStyle w:val="Heading2"/>
      </w:pPr>
      <w:r>
        <w:rPr>
          <w:sz w:val="25"/>
        </w:rPr>
        <w:t>五、长期战略意义</w:t>
      </w:r>
    </w:p>
    <w:p/>
    <w:p>
      <w:pPr>
        <w:pStyle w:val="Heading3"/>
      </w:pPr>
      <w:r>
        <w:rPr>
          <w:sz w:val="23"/>
        </w:rPr>
        <w:t>品牌护城河构建</w:t>
      </w:r>
    </w:p>
    <w:p>
      <w:r>
        <w:rPr>
          <w:sz w:val="21"/>
        </w:rPr>
        <w:t>私域流量运营不仅是短期营销手段，更是品牌长期竞争力的核心：</w:t>
      </w:r>
    </w:p>
    <w:p>
      <w:pPr>
        <w:pStyle w:val="ListBullet"/>
      </w:pPr>
      <w:r>
        <w:rPr>
          <w:b/>
          <w:sz w:val="21"/>
        </w:rPr>
        <w:t>用户洞察深化</w:t>
      </w:r>
      <w:r>
        <w:rPr>
          <w:sz w:val="21"/>
        </w:rPr>
        <w:t>：持续积累用户数据，反哺产品研发</w:t>
      </w:r>
    </w:p>
    <w:p>
      <w:pPr>
        <w:pStyle w:val="ListBullet"/>
      </w:pPr>
      <w:r>
        <w:rPr>
          <w:b/>
          <w:sz w:val="21"/>
        </w:rPr>
        <w:t>品牌文化传播</w:t>
      </w:r>
      <w:r>
        <w:rPr>
          <w:sz w:val="21"/>
        </w:rPr>
        <w:t>：建立品牌价值观共同体</w:t>
      </w:r>
    </w:p>
    <w:p>
      <w:pPr>
        <w:pStyle w:val="ListBullet"/>
      </w:pPr>
      <w:r>
        <w:rPr>
          <w:b/>
          <w:sz w:val="21"/>
        </w:rPr>
        <w:t>抗风险能力</w:t>
      </w:r>
      <w:r>
        <w:rPr>
          <w:sz w:val="21"/>
        </w:rPr>
        <w:t>：在经济波动期保持稳定的用户基本盘</w:t>
      </w:r>
    </w:p>
    <w:p/>
    <w:p>
      <w:pPr>
        <w:pStyle w:val="Heading3"/>
      </w:pPr>
      <w:r>
        <w:rPr>
          <w:sz w:val="23"/>
        </w:rPr>
        <w:t>数字化转型加速器</w:t>
      </w:r>
    </w:p>
    <w:p>
      <w:r>
        <w:rPr>
          <w:sz w:val="21"/>
        </w:rPr>
        <w:t>通过私域运营推动企业全面数字化：</w:t>
      </w:r>
    </w:p>
    <w:p>
      <w:pPr>
        <w:pStyle w:val="ListBullet"/>
      </w:pPr>
      <w:r>
        <w:rPr>
          <w:sz w:val="21"/>
        </w:rPr>
        <w:t>组织架构向用户中心转型</w:t>
      </w:r>
    </w:p>
    <w:p>
      <w:pPr>
        <w:pStyle w:val="ListBullet"/>
      </w:pPr>
      <w:r>
        <w:rPr>
          <w:sz w:val="21"/>
        </w:rPr>
        <w:t>数据决策文化形成</w:t>
      </w:r>
    </w:p>
    <w:p>
      <w:pPr>
        <w:pStyle w:val="ListBullet"/>
      </w:pPr>
      <w:r>
        <w:rPr>
          <w:sz w:val="21"/>
        </w:rPr>
        <w:t>线上线下融合能力提升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执行建议</w:t>
      </w:r>
      <w:r>
        <w:rPr>
          <w:sz w:val="21"/>
        </w:rPr>
        <w:t>：建议成立跨部门私域流量专项小组，由市场部牵头，技术、产品、客服部门协同，建立周报机制和季度复盘制度，确保战略有效落地。</w:t>
      </w:r>
    </w:p>
    <w:p/>
    <w:p>
      <w:r>
        <w:rPr>
          <w:b/>
          <w:sz w:val="21"/>
        </w:rPr>
        <w:t>预期成果</w:t>
      </w:r>
      <w:r>
        <w:rPr>
          <w:sz w:val="21"/>
        </w:rPr>
        <w:t>：一年内构建起5-10万人的高质量私域用户池，私域渠道贡献整体GMV的20-30%，用户生命周期价值提升50%以上，为品牌可持续发展奠定坚实基础。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