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样本编号：25</w:t>
      </w:r>
    </w:p>
    <w:p>
      <w:r>
        <w:rPr>
          <w:b/>
          <w:sz w:val="22"/>
        </w:rPr>
        <w:t>领域：技术</w:t>
      </w:r>
    </w:p>
    <w:p>
      <w:r>
        <w:rPr>
          <w:i/>
          <w:sz w:val="20"/>
        </w:rPr>
        <w:t>【请结合评分表第 25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28"/>
        </w:rPr>
        <w:t>微服务架构下API网关的选型与配置方案</w:t>
      </w:r>
    </w:p>
    <w:p/>
    <w:p>
      <w:pPr>
        <w:pStyle w:val="Heading2"/>
      </w:pPr>
      <w:r>
        <w:rPr>
          <w:sz w:val="25"/>
        </w:rPr>
        <w:t>概述</w:t>
      </w:r>
    </w:p>
    <w:p/>
    <w:p>
      <w:r>
        <w:rPr>
          <w:sz w:val="21"/>
        </w:rPr>
        <w:t>在微服务架构中，API网关作为服务的统一入口，承担着路由、认证、限流等关键职责。本文旨在为软件开发工程师、系统架构师、运维团队以及企业IT管理者提供API网关的选型与配置方案，以构建高效、可扩展的微服务架构。</w:t>
      </w:r>
    </w:p>
    <w:p/>
    <w:p>
      <w:pPr>
        <w:pStyle w:val="Heading2"/>
      </w:pPr>
      <w:r>
        <w:rPr>
          <w:sz w:val="25"/>
        </w:rPr>
        <w:t>选型</w:t>
      </w:r>
    </w:p>
    <w:p/>
    <w:p>
      <w:pPr>
        <w:pStyle w:val="Heading3"/>
      </w:pPr>
      <w:r>
        <w:rPr>
          <w:sz w:val="23"/>
        </w:rPr>
        <w:t>1. Kong</w:t>
      </w:r>
    </w:p>
    <w:p/>
    <w:p>
      <w:pPr>
        <w:pStyle w:val="ListBullet"/>
      </w:pPr>
      <w:r>
        <w:rPr>
          <w:b/>
          <w:sz w:val="21"/>
        </w:rPr>
        <w:t>特点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支持动态路由、插件化扩展。</w:t>
      </w:r>
    </w:p>
    <w:p>
      <w:pPr>
        <w:pStyle w:val="ListBullet2"/>
      </w:pPr>
      <w:r>
        <w:rPr>
          <w:sz w:val="21"/>
        </w:rPr>
        <w:t>提供企业级支持和安全特性。</w:t>
      </w:r>
    </w:p>
    <w:p>
      <w:pPr>
        <w:pStyle w:val="ListBullet2"/>
      </w:pPr>
      <w:r>
        <w:rPr>
          <w:sz w:val="21"/>
        </w:rPr>
        <w:t>适用于需要高吞吐量和低延迟的场景。</w:t>
      </w:r>
    </w:p>
    <w:p/>
    <w:p>
      <w:pPr>
        <w:pStyle w:val="ListBullet"/>
      </w:pPr>
      <w:r>
        <w:rPr>
          <w:b/>
          <w:sz w:val="21"/>
        </w:rPr>
        <w:t>技术栈要求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支持多种语言和框架，如Node.js、Lua等。</w:t>
      </w:r>
    </w:p>
    <w:p/>
    <w:p>
      <w:pPr>
        <w:pStyle w:val="Heading3"/>
      </w:pPr>
      <w:r>
        <w:rPr>
          <w:sz w:val="23"/>
        </w:rPr>
        <w:t>2. Nginx</w:t>
      </w:r>
    </w:p>
    <w:p/>
    <w:p>
      <w:pPr>
        <w:pStyle w:val="ListBullet"/>
      </w:pPr>
      <w:r>
        <w:rPr>
          <w:b/>
          <w:sz w:val="21"/>
        </w:rPr>
        <w:t>特点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高性能、高并发。</w:t>
      </w:r>
    </w:p>
    <w:p>
      <w:pPr>
        <w:pStyle w:val="ListBullet2"/>
      </w:pPr>
      <w:r>
        <w:rPr>
          <w:sz w:val="21"/>
        </w:rPr>
        <w:t>配置简单，社区支持强大。</w:t>
      </w:r>
    </w:p>
    <w:p>
      <w:pPr>
        <w:pStyle w:val="ListBullet2"/>
      </w:pPr>
      <w:r>
        <w:rPr>
          <w:sz w:val="21"/>
        </w:rPr>
        <w:t>适用于静态内容分发和反向代理。</w:t>
      </w:r>
    </w:p>
    <w:p/>
    <w:p>
      <w:pPr>
        <w:pStyle w:val="ListBullet"/>
      </w:pPr>
      <w:r>
        <w:rPr>
          <w:b/>
          <w:sz w:val="21"/>
        </w:rPr>
        <w:t>技术栈要求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需要一定的Nginx配置知识。</w:t>
      </w:r>
    </w:p>
    <w:p/>
    <w:p>
      <w:pPr>
        <w:pStyle w:val="Heading3"/>
      </w:pPr>
      <w:r>
        <w:rPr>
          <w:sz w:val="23"/>
        </w:rPr>
        <w:t>3. Spring Cloud Gateway</w:t>
      </w:r>
    </w:p>
    <w:p/>
    <w:p>
      <w:pPr>
        <w:pStyle w:val="ListBullet"/>
      </w:pPr>
      <w:r>
        <w:rPr>
          <w:b/>
          <w:sz w:val="21"/>
        </w:rPr>
        <w:t>特点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基于Spring生态系统，与Spring Boot集成良好。</w:t>
      </w:r>
    </w:p>
    <w:p>
      <w:pPr>
        <w:pStyle w:val="ListBullet2"/>
      </w:pPr>
      <w:r>
        <w:rPr>
          <w:sz w:val="21"/>
        </w:rPr>
        <w:t>支持WebFlux，适用于响应式编程。</w:t>
      </w:r>
    </w:p>
    <w:p>
      <w:pPr>
        <w:pStyle w:val="ListBullet2"/>
      </w:pPr>
      <w:r>
        <w:rPr>
          <w:sz w:val="21"/>
        </w:rPr>
        <w:t>适用于Java应用，特别是Spring应用。</w:t>
      </w:r>
    </w:p>
    <w:p/>
    <w:p>
      <w:pPr>
        <w:pStyle w:val="ListBullet"/>
      </w:pPr>
      <w:r>
        <w:rPr>
          <w:b/>
          <w:sz w:val="21"/>
        </w:rPr>
        <w:t>技术栈要求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需要Java和Spring框架知识。</w:t>
      </w:r>
    </w:p>
    <w:p/>
    <w:p>
      <w:pPr>
        <w:pStyle w:val="Heading2"/>
      </w:pPr>
      <w:r>
        <w:rPr>
          <w:sz w:val="25"/>
        </w:rPr>
        <w:t>配置方案</w:t>
      </w:r>
    </w:p>
    <w:p/>
    <w:p>
      <w:pPr>
        <w:pStyle w:val="Heading3"/>
      </w:pPr>
      <w:r>
        <w:rPr>
          <w:sz w:val="23"/>
        </w:rPr>
        <w:t>1. 定义API策略</w:t>
      </w:r>
    </w:p>
    <w:p/>
    <w:p>
      <w:pPr>
        <w:pStyle w:val="ListBullet"/>
      </w:pPr>
      <w:r>
        <w:rPr>
          <w:b/>
          <w:sz w:val="21"/>
        </w:rPr>
        <w:t>路由规则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根据服务名称、版本、路径等定义路由规则。</w:t>
      </w:r>
    </w:p>
    <w:p/>
    <w:p>
      <w:pPr>
        <w:pStyle w:val="ListBullet"/>
      </w:pPr>
      <w:r>
        <w:rPr>
          <w:b/>
          <w:sz w:val="21"/>
        </w:rPr>
        <w:t>认证授权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选择合适的认证方式，如OAuth2、JWT等。</w:t>
      </w:r>
    </w:p>
    <w:p>
      <w:pPr>
        <w:pStyle w:val="ListBullet2"/>
      </w:pPr>
      <w:r>
        <w:rPr>
          <w:sz w:val="21"/>
        </w:rPr>
        <w:t>配置授权策略，控制访问权限。</w:t>
      </w:r>
    </w:p>
    <w:p/>
    <w:p>
      <w:pPr>
        <w:pStyle w:val="ListBullet"/>
      </w:pPr>
      <w:r>
        <w:rPr>
          <w:b/>
          <w:sz w:val="21"/>
        </w:rPr>
        <w:t>限流熔断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根据业务需求配置限流策略，如QPS、并发数等。</w:t>
      </w:r>
    </w:p>
    <w:p>
      <w:pPr>
        <w:pStyle w:val="ListBullet2"/>
      </w:pPr>
      <w:r>
        <w:rPr>
          <w:sz w:val="21"/>
        </w:rPr>
        <w:t>配置熔断器，如Hystrix，以防止服务雪崩。</w:t>
      </w:r>
    </w:p>
    <w:p/>
    <w:p>
      <w:pPr>
        <w:pStyle w:val="Heading3"/>
      </w:pPr>
      <w:r>
        <w:rPr>
          <w:sz w:val="23"/>
        </w:rPr>
        <w:t>2. 详细配置</w:t>
      </w:r>
    </w:p>
    <w:p/>
    <w:p>
      <w:pPr>
        <w:pStyle w:val="ListBullet"/>
      </w:pPr>
      <w:r>
        <w:rPr>
          <w:b/>
          <w:sz w:val="21"/>
        </w:rPr>
        <w:t>Kong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使用Kong Admin API或Dashboard进行配置。</w:t>
      </w:r>
    </w:p>
    <w:p>
      <w:pPr>
        <w:pStyle w:val="ListBullet2"/>
      </w:pPr>
      <w:r>
        <w:rPr>
          <w:sz w:val="21"/>
        </w:rPr>
        <w:t>配置插件，如rate-limiting、jwt等。</w:t>
      </w:r>
    </w:p>
    <w:p/>
    <w:p>
      <w:pPr>
        <w:pStyle w:val="ListBullet"/>
      </w:pPr>
      <w:r>
        <w:rPr>
          <w:b/>
          <w:sz w:val="21"/>
        </w:rPr>
        <w:t>Nginx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编辑Nginx配置文件，添加upstream和server块。</w:t>
      </w:r>
    </w:p>
    <w:p>
      <w:pPr>
        <w:pStyle w:val="ListBullet2"/>
      </w:pPr>
      <w:r>
        <w:rPr>
          <w:sz w:val="21"/>
        </w:rPr>
        <w:t>配置负载均衡、SSL等。</w:t>
      </w:r>
    </w:p>
    <w:p/>
    <w:p>
      <w:pPr>
        <w:pStyle w:val="ListBullet"/>
      </w:pPr>
      <w:r>
        <w:rPr>
          <w:b/>
          <w:sz w:val="21"/>
        </w:rPr>
        <w:t>Spring Cloud Gateway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在Spring Boot应用中配置路由和过滤器。</w:t>
      </w:r>
    </w:p>
    <w:p>
      <w:pPr>
        <w:pStyle w:val="ListBullet2"/>
      </w:pPr>
      <w:r>
        <w:rPr>
          <w:sz w:val="21"/>
        </w:rPr>
        <w:t>使用Spring Cloud Gateway提供的注解和配置类。</w:t>
      </w:r>
    </w:p>
    <w:p/>
    <w:p>
      <w:pPr>
        <w:pStyle w:val="Heading3"/>
      </w:pPr>
      <w:r>
        <w:rPr>
          <w:sz w:val="23"/>
        </w:rPr>
        <w:t>3. 测试与监控</w:t>
      </w:r>
    </w:p>
    <w:p/>
    <w:p>
      <w:pPr>
        <w:pStyle w:val="ListBullet"/>
      </w:pPr>
      <w:r>
        <w:rPr>
          <w:b/>
          <w:sz w:val="21"/>
        </w:rPr>
        <w:t>测试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进行单元测试、集成测试，确保配置正确。</w:t>
      </w:r>
    </w:p>
    <w:p>
      <w:pPr>
        <w:pStyle w:val="ListBullet2"/>
      </w:pPr>
      <w:r>
        <w:rPr>
          <w:sz w:val="21"/>
        </w:rPr>
        <w:t>进行性能测试，确保满足业务需求。</w:t>
      </w:r>
    </w:p>
    <w:p/>
    <w:p>
      <w:pPr>
        <w:pStyle w:val="ListBullet"/>
      </w:pPr>
      <w:r>
        <w:rPr>
          <w:b/>
          <w:sz w:val="21"/>
        </w:rPr>
        <w:t>监控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配置日志记录，如ELK Stack。</w:t>
      </w:r>
    </w:p>
    <w:p>
      <w:pPr>
        <w:pStyle w:val="ListBullet2"/>
      </w:pPr>
      <w:r>
        <w:rPr>
          <w:sz w:val="21"/>
        </w:rPr>
        <w:t>使用监控工具，如Prometheus和Grafana，监控API网关性能。</w:t>
      </w:r>
    </w:p>
    <w:p/>
    <w:p>
      <w:pPr>
        <w:pStyle w:val="Heading2"/>
      </w:pPr>
      <w:r>
        <w:rPr>
          <w:sz w:val="25"/>
        </w:rPr>
        <w:t>结论</w:t>
      </w:r>
    </w:p>
    <w:p/>
    <w:p>
      <w:r>
        <w:rPr>
          <w:sz w:val="21"/>
        </w:rPr>
        <w:t>通过选择合适的API网关产品并进行详细配置，可以为企业构建高效、可扩展的微服务架构。本文提供了从选型到配置的全过程指导，帮助读者快速上手实践。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