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样本编号：34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34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好的，遵照您的指令，我将以一名资深前端工程师的身份，为您创建一份专业、严谨且易于理解的前端React项目代码规范与工程化配置指南。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PPS 标准: v1.0.0 | 指令 ID: 811f8669941e</w:t>
      </w:r>
    </w:p>
    <w:p>
      <w:pPr>
        <w:pStyle w:val="Heading3"/>
      </w:pPr>
      <w:r>
        <w:rPr>
          <w:sz w:val="23"/>
        </w:rPr>
        <w:t>创建时间: 2026-04-01T19:10:20</w:t>
      </w:r>
    </w:p>
    <w:p>
      <w:pPr>
        <w:pStyle w:val="Heading3"/>
      </w:pPr>
      <w:r>
        <w:rPr>
          <w:sz w:val="23"/>
        </w:rPr>
        <w:t>sha256:e86645dc78c8cf5f9c22f540499c50a666ebd97d1f05072bd35c811f8669941e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rPr>
          <w:sz w:val="28"/>
        </w:rPr>
        <w:t>前端React项目代码规范与工程化配置指南 (v1.0.0)</w:t>
      </w:r>
    </w:p>
    <w:p/>
    <w:p>
      <w:pPr>
        <w:pStyle w:val="Heading2"/>
      </w:pPr>
      <w:r>
        <w:rPr>
          <w:sz w:val="25"/>
        </w:rPr>
        <w:t>前言</w:t>
      </w:r>
    </w:p>
    <w:p/>
    <w:p>
      <w:pPr>
        <w:pStyle w:val="Heading3"/>
      </w:pPr>
      <w:r>
        <w:rPr>
          <w:sz w:val="23"/>
        </w:rPr>
        <w:t>1. 目的与原则</w:t>
      </w:r>
    </w:p>
    <w:p/>
    <w:p>
      <w:r>
        <w:rPr>
          <w:sz w:val="21"/>
        </w:rPr>
        <w:t>本指南旨在为公司所有基于React技术栈的前端项目提供一套统一的开发规范和工程化标准。其核心目标是：</w:t>
      </w:r>
    </w:p>
    <w:p/>
    <w:p>
      <w:pPr>
        <w:pStyle w:val="ListBullet"/>
      </w:pPr>
      <w:r>
        <w:rPr>
          <w:b/>
          <w:sz w:val="21"/>
        </w:rPr>
        <w:t>提升代码质量与可维护性</w:t>
      </w:r>
      <w:r>
        <w:rPr>
          <w:sz w:val="21"/>
        </w:rPr>
        <w:t>：通过统一的规范，降低代码的熵增，使代码更易于阅读、理解和维护。</w:t>
      </w:r>
    </w:p>
    <w:p>
      <w:pPr>
        <w:pStyle w:val="ListBullet"/>
      </w:pPr>
      <w:r>
        <w:rPr>
          <w:b/>
          <w:sz w:val="21"/>
        </w:rPr>
        <w:t>提高团队协作效率</w:t>
      </w:r>
      <w:r>
        <w:rPr>
          <w:sz w:val="21"/>
        </w:rPr>
        <w:t>：减少因代码风格、架构不一致而产生的沟通成本和集成问题，让开发者专注于业务逻辑实现。</w:t>
      </w:r>
    </w:p>
    <w:p>
      <w:pPr>
        <w:pStyle w:val="ListBullet"/>
      </w:pPr>
      <w:r>
        <w:rPr>
          <w:b/>
          <w:sz w:val="21"/>
        </w:rPr>
        <w:t>保障项目稳定性与性能</w:t>
      </w:r>
      <w:r>
        <w:rPr>
          <w:sz w:val="21"/>
        </w:rPr>
        <w:t>：引入类型检查、自动化测试和最佳实践，从源头减少潜在的Bug，并为性能优化提供指导。</w:t>
      </w:r>
    </w:p>
    <w:p>
      <w:pPr>
        <w:pStyle w:val="ListBullet"/>
      </w:pPr>
      <w:r>
        <w:rPr>
          <w:b/>
          <w:sz w:val="21"/>
        </w:rPr>
        <w:t>加速新人融入</w:t>
      </w:r>
      <w:r>
        <w:rPr>
          <w:sz w:val="21"/>
        </w:rPr>
        <w:t>：为新成员提供清晰的“地图”和“行为准则”，帮助他们快速熟悉项目并贡献高质量代码。</w:t>
      </w:r>
    </w:p>
    <w:p/>
    <w:p>
      <w:r>
        <w:rPr>
          <w:sz w:val="21"/>
        </w:rPr>
        <w:t xml:space="preserve">我们遵循 </w:t>
      </w:r>
      <w:r>
        <w:rPr>
          <w:b/>
          <w:sz w:val="21"/>
        </w:rPr>
        <w:t>“约定优于配置” (Convention over Configuration)</w:t>
      </w:r>
      <w:r>
        <w:rPr>
          <w:sz w:val="21"/>
        </w:rPr>
        <w:t xml:space="preserve"> 的原则，鼓励实用主义，避免过度设计。本规范是团队协作的基石，而非束缚创造力的枷锁。</w:t>
      </w:r>
    </w:p>
    <w:p/>
    <w:p>
      <w:pPr>
        <w:pStyle w:val="Heading3"/>
      </w:pPr>
      <w:r>
        <w:rPr>
          <w:sz w:val="23"/>
        </w:rPr>
        <w:t>2. 适用范围</w:t>
      </w:r>
    </w:p>
    <w:p/>
    <w:p>
      <w:r>
        <w:rPr>
          <w:sz w:val="21"/>
        </w:rPr>
        <w:t>本指南适用于公司内部所有使用React（v17+）及TypeScript（v4+）技术栈的新建及重构项目，包括但不限于Web应用、移动Web应用、基于Electron或Tauri的桌面应用等。</w:t>
      </w:r>
    </w:p>
    <w:p/>
    <w:p>
      <w:pPr>
        <w:pStyle w:val="Heading3"/>
      </w:pPr>
      <w:r>
        <w:rPr>
          <w:sz w:val="23"/>
        </w:rPr>
        <w:t>3. 规范的迭代与维护</w:t>
      </w:r>
    </w:p>
    <w:p/>
    <w:p>
      <w:r>
        <w:rPr>
          <w:sz w:val="21"/>
        </w:rPr>
        <w:t>本指南将由前端技术委员会牵头，</w:t>
      </w:r>
      <w:r>
        <w:rPr>
          <w:b/>
          <w:sz w:val="21"/>
        </w:rPr>
        <w:t>每季度进行一次审查与更新</w:t>
      </w:r>
      <w:r>
        <w:rPr>
          <w:sz w:val="21"/>
        </w:rPr>
        <w:t>。欢迎团队所有成员通过内部文档系统提出修改建议（Issue/Comment），共同完善这份属于我们自己的规范。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第一章：环境与工具链</w:t>
      </w:r>
    </w:p>
    <w:p/>
    <w:p>
      <w:r>
        <w:rPr>
          <w:sz w:val="21"/>
        </w:rPr>
        <w:t>统一的开发环境是保证协作顺畅的第一步。</w:t>
      </w:r>
    </w:p>
    <w:p/>
    <w:p>
      <w:pPr>
        <w:pStyle w:val="Heading3"/>
      </w:pPr>
      <w:r>
        <w:rPr>
          <w:sz w:val="23"/>
        </w:rPr>
        <w:t>1.1. Node.js &amp; 包管理器</w:t>
      </w:r>
    </w:p>
    <w:p/>
    <w:p>
      <w:pPr>
        <w:pStyle w:val="ListBullet"/>
      </w:pPr>
      <w:r>
        <w:rPr>
          <w:b/>
          <w:sz w:val="21"/>
        </w:rPr>
        <w:t>Node.js</w:t>
      </w:r>
      <w:r>
        <w:rPr>
          <w:sz w:val="21"/>
        </w:rPr>
        <w:t xml:space="preserve">: 项目应统一使用 </w:t>
      </w:r>
      <w:r>
        <w:rPr>
          <w:b/>
          <w:sz w:val="21"/>
        </w:rPr>
        <w:t>LTS (长期支持)</w:t>
      </w:r>
      <w:r>
        <w:rPr>
          <w:sz w:val="21"/>
        </w:rPr>
        <w:t xml:space="preserve"> 版本，并在项目根目录的 </w:t>
      </w:r>
      <w:r>
        <w:rPr>
          <w:rFonts w:ascii="Courier New" w:hAnsi="Courier New"/>
          <w:color w:val="800000"/>
          <w:sz w:val="19"/>
        </w:rPr>
        <w:t>.nvmrc</w:t>
      </w:r>
      <w:r>
        <w:rPr>
          <w:sz w:val="21"/>
        </w:rPr>
        <w:t xml:space="preserve"> 文件中指定版本号。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# .nvmrc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lts/iron</w:t>
      </w:r>
    </w:p>
    <w:p>
      <w:pPr>
        <w:pStyle w:val="ListBullet"/>
      </w:pPr>
      <w:r>
        <w:rPr>
          <w:b/>
          <w:sz w:val="21"/>
        </w:rPr>
        <w:t>包管理器</w:t>
      </w:r>
      <w:r>
        <w:rPr>
          <w:sz w:val="21"/>
        </w:rPr>
        <w:t xml:space="preserve">: 推荐使用 </w:t>
      </w:r>
      <w:r>
        <w:rPr>
          <w:b/>
          <w:sz w:val="21"/>
        </w:rPr>
        <w:t>pnpm</w:t>
      </w:r>
      <w:r>
        <w:rPr>
          <w:sz w:val="21"/>
        </w:rPr>
        <w:t xml:space="preserve"> 作为首选包管理器，以利用其高效的依赖管理和磁盘空间优化。项目根目录应包含 </w:t>
      </w:r>
      <w:r>
        <w:rPr>
          <w:rFonts w:ascii="Courier New" w:hAnsi="Courier New"/>
          <w:color w:val="800000"/>
          <w:sz w:val="19"/>
        </w:rPr>
        <w:t>pnpm-lock.yaml</w:t>
      </w:r>
      <w:r>
        <w:rPr>
          <w:sz w:val="21"/>
        </w:rPr>
        <w:t xml:space="preserve"> 文件。备选方案为 </w:t>
      </w:r>
      <w:r>
        <w:rPr>
          <w:rFonts w:ascii="Courier New" w:hAnsi="Courier New"/>
          <w:color w:val="800000"/>
          <w:sz w:val="19"/>
        </w:rPr>
        <w:t>yarn</w:t>
      </w:r>
      <w:r>
        <w:rPr>
          <w:sz w:val="21"/>
        </w:rPr>
        <w:t xml:space="preserve"> (v2+)。禁止使用 </w:t>
      </w:r>
      <w:r>
        <w:rPr>
          <w:rFonts w:ascii="Courier New" w:hAnsi="Courier New"/>
          <w:color w:val="800000"/>
          <w:sz w:val="19"/>
        </w:rPr>
        <w:t>npm</w:t>
      </w:r>
      <w:r>
        <w:rPr>
          <w:sz w:val="21"/>
        </w:rPr>
        <w:t>，以避免“幻影依赖”问题。</w:t>
      </w:r>
    </w:p>
    <w:p/>
    <w:p>
      <w:pPr>
        <w:pStyle w:val="Heading3"/>
      </w:pPr>
      <w:r>
        <w:rPr>
          <w:sz w:val="23"/>
        </w:rPr>
        <w:t>1.2. 开发工具</w:t>
      </w:r>
    </w:p>
    <w:p/>
    <w:p>
      <w:pPr>
        <w:pStyle w:val="ListBullet"/>
      </w:pPr>
      <w:r>
        <w:rPr>
          <w:b/>
          <w:sz w:val="21"/>
        </w:rPr>
        <w:t>IDE</w:t>
      </w:r>
      <w:r>
        <w:rPr>
          <w:sz w:val="21"/>
        </w:rPr>
        <w:t xml:space="preserve">: 推荐使用 </w:t>
      </w:r>
      <w:r>
        <w:rPr>
          <w:b/>
          <w:sz w:val="21"/>
        </w:rPr>
        <w:t>Visual Studio Code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必备 VSCode 插件</w:t>
      </w:r>
      <w:r>
        <w:rPr>
          <w:sz w:val="21"/>
        </w:rPr>
        <w:t>: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ESLint</w:t>
      </w:r>
      <w:r>
        <w:rPr>
          <w:sz w:val="21"/>
        </w:rPr>
        <w:t>: 集成ESLint，实时代码检查。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Prettier - Code formatter</w:t>
      </w:r>
      <w:r>
        <w:rPr>
          <w:sz w:val="21"/>
        </w:rPr>
        <w:t>: 代码格式化。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EditorConfig for VS Code</w:t>
      </w:r>
      <w:r>
        <w:rPr>
          <w:sz w:val="21"/>
        </w:rPr>
        <w:t>: 统一不同编辑器的基础编码风格（缩进、换行等）。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GitLens</w:t>
      </w:r>
      <w:r>
        <w:rPr>
          <w:sz w:val="21"/>
        </w:rPr>
        <w:t>: 增强Git版本控制体验。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TypeScript React Code Snippets</w:t>
      </w:r>
      <w:r>
        <w:rPr>
          <w:sz w:val="21"/>
        </w:rPr>
        <w:t>: 提高React+TS开发效率。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第二章：项目结构</w:t>
      </w:r>
    </w:p>
    <w:p/>
    <w:p>
      <w:r>
        <w:rPr>
          <w:sz w:val="21"/>
        </w:rPr>
        <w:t>清晰、可预测的项目结构是大型项目的命脉。我们采用按功能模块（Feature）和职责（Role）混合组织的方式。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/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.vscode/          # VSCode 工作区配置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.husky/           # Git Hooks 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public/           # 静态资源 (打包时直接复制)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src/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api/          # API 请求模块 (按服务划分)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userService.ts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assets/       # 静态资源 (图片, 字体等, 会被打包)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components/   # UI 组件库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├── common/   # 通用/原子组件 (Button, Input, Modal...)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layout/   # 布局组件 (Header, Footer, Sidebar...)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config/       # 项目配置 (环境变量, 路由配置)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index.ts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constants/    # 常量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enums.ts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hooks/        # 自定义 Hooks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useDebounce.ts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pages/        # 页面级组件 (对应路由)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UserManagement/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    ├── components/ # 页面内部私有组件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    ├── index.tsx   # 页面入口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    └── style.ts    # 页面样式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services/     # 业务服务 (封装复杂业务逻辑)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store/        # 全局状态管理 (Zustand/Redux)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├── userStore.ts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index.ts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styles/       # 全局样式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├── global.css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theme.ts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types/        # 全局 TypeScript 类型定义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index.d.ts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utils/        # 工具函数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│   └── format.ts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├── App.tsx       # 应用根组件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│   └── main.tsx      # 应用入口文件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.editorconfig     # 编辑器配置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.eslintrc.js      # ESLint 配置文件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.gitignore        # Git 忽略文件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.prettierrc.js    # Prettier 配置文件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index.html        # HTML 入口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package.json      # 项目元数据与依赖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pnpm-lock.yaml    # 依赖锁定文件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├── tsconfig.json     # TypeScript 配置文件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└── vite.config.ts    # Vite 配置文件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第三章：命名规范</w:t>
      </w:r>
    </w:p>
    <w:p/>
    <w:p>
      <w:r>
        <w:rPr>
          <w:sz w:val="21"/>
        </w:rPr>
        <w:t>一致的命名是代码自解释性的关键。</w:t>
      </w:r>
    </w:p>
    <w:p/>
    <w:p>
      <w:pPr>
        <w:pStyle w:val="ListBullet"/>
      </w:pPr>
      <w:r>
        <w:rPr>
          <w:b/>
          <w:sz w:val="21"/>
        </w:rPr>
        <w:t>文件/目录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组件目录和文件使用 </w:t>
      </w:r>
      <w:r>
        <w:rPr>
          <w:b/>
          <w:sz w:val="21"/>
        </w:rPr>
        <w:t>大驼峰 (PascalCase)</w:t>
      </w:r>
      <w:r>
        <w:rPr>
          <w:sz w:val="21"/>
        </w:rPr>
        <w:t xml:space="preserve">，如 </w:t>
      </w:r>
      <w:r>
        <w:rPr>
          <w:rFonts w:ascii="Courier New" w:hAnsi="Courier New"/>
          <w:color w:val="800000"/>
          <w:sz w:val="19"/>
        </w:rPr>
        <w:t>src/components/UserInfo/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src/components/UserInfo/index.tsx</w:t>
      </w:r>
      <w:r>
        <w:rPr>
          <w:sz w:val="21"/>
        </w:rPr>
        <w:t>。</w:t>
      </w:r>
    </w:p>
    <w:p>
      <w:pPr>
        <w:pStyle w:val="ListBullet2"/>
      </w:pPr>
      <w:r>
        <w:rPr>
          <w:sz w:val="21"/>
        </w:rPr>
        <w:t xml:space="preserve">非组件的TS/JS文件（如hooks, utils, services）使用 </w:t>
      </w:r>
      <w:r>
        <w:rPr>
          <w:b/>
          <w:sz w:val="21"/>
        </w:rPr>
        <w:t>小驼峰 (camelCase)</w:t>
      </w:r>
      <w:r>
        <w:rPr>
          <w:sz w:val="21"/>
        </w:rPr>
        <w:t xml:space="preserve">，如 </w:t>
      </w:r>
      <w:r>
        <w:rPr>
          <w:rFonts w:ascii="Courier New" w:hAnsi="Courier New"/>
          <w:color w:val="800000"/>
          <w:sz w:val="19"/>
        </w:rPr>
        <w:t>src/hooks/useUserData.ts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变量/常量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变量和函数名使用 </w:t>
      </w:r>
      <w:r>
        <w:rPr>
          <w:b/>
          <w:sz w:val="21"/>
        </w:rPr>
        <w:t>小驼峰 (camelCase)</w:t>
      </w:r>
      <w:r>
        <w:rPr>
          <w:sz w:val="21"/>
        </w:rPr>
        <w:t>。</w:t>
      </w:r>
    </w:p>
    <w:p>
      <w:pPr>
        <w:pStyle w:val="ListBullet2"/>
      </w:pPr>
      <w:r>
        <w:rPr>
          <w:sz w:val="21"/>
        </w:rPr>
        <w:t xml:space="preserve">常量使用 </w:t>
      </w:r>
      <w:r>
        <w:rPr>
          <w:b/>
          <w:sz w:val="21"/>
        </w:rPr>
        <w:t>全大写下划线 (UPPER_SNAKE_CASE)</w:t>
      </w:r>
      <w:r>
        <w:rPr>
          <w:sz w:val="21"/>
        </w:rPr>
        <w:t xml:space="preserve">，如 </w:t>
      </w:r>
      <w:r>
        <w:rPr>
          <w:rFonts w:ascii="Courier New" w:hAnsi="Courier New"/>
          <w:color w:val="800000"/>
          <w:sz w:val="19"/>
        </w:rPr>
        <w:t>const MAX_RETRIES = 3;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组件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组件名使用 </w:t>
      </w:r>
      <w:r>
        <w:rPr>
          <w:b/>
          <w:sz w:val="21"/>
        </w:rPr>
        <w:t>大驼峰 (PascalCase)</w:t>
      </w:r>
      <w:r>
        <w:rPr>
          <w:sz w:val="21"/>
        </w:rPr>
        <w:t>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props</w:t>
      </w:r>
      <w:r>
        <w:rPr>
          <w:sz w:val="21"/>
        </w:rPr>
        <w:t xml:space="preserve"> 的类型定义接口或类型别名，使用组件名后加 </w:t>
      </w:r>
      <w:r>
        <w:rPr>
          <w:rFonts w:ascii="Courier New" w:hAnsi="Courier New"/>
          <w:color w:val="800000"/>
          <w:sz w:val="19"/>
        </w:rPr>
        <w:t>Props</w:t>
      </w:r>
      <w:r>
        <w:rPr>
          <w:sz w:val="21"/>
        </w:rPr>
        <w:t xml:space="preserve"> 后缀，如 </w:t>
      </w:r>
      <w:r>
        <w:rPr>
          <w:rFonts w:ascii="Courier New" w:hAnsi="Courier New"/>
          <w:color w:val="800000"/>
          <w:sz w:val="19"/>
        </w:rPr>
        <w:t>interface UserProfileProps {}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Hooks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自定义 Hooks 必须以 </w:t>
      </w:r>
      <w:r>
        <w:rPr>
          <w:rFonts w:ascii="Courier New" w:hAnsi="Courier New"/>
          <w:color w:val="800000"/>
          <w:sz w:val="19"/>
        </w:rPr>
        <w:t>use</w:t>
      </w:r>
      <w:r>
        <w:rPr>
          <w:sz w:val="21"/>
        </w:rPr>
        <w:t xml:space="preserve"> 开头，后跟 </w:t>
      </w:r>
      <w:r>
        <w:rPr>
          <w:b/>
          <w:sz w:val="21"/>
        </w:rPr>
        <w:t>大驼峰 (PascalCase)</w:t>
      </w:r>
      <w:r>
        <w:rPr>
          <w:sz w:val="21"/>
        </w:rPr>
        <w:t xml:space="preserve">，如 </w:t>
      </w:r>
      <w:r>
        <w:rPr>
          <w:rFonts w:ascii="Courier New" w:hAnsi="Courier New"/>
          <w:color w:val="800000"/>
          <w:sz w:val="19"/>
        </w:rPr>
        <w:t>useFormValidation</w:t>
      </w:r>
      <w:r>
        <w:rPr>
          <w:sz w:val="21"/>
        </w:rPr>
        <w:t>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第四章：编码风格与格式化</w:t>
      </w:r>
    </w:p>
    <w:p/>
    <w:p>
      <w:pPr>
        <w:pStyle w:val="Heading3"/>
      </w:pPr>
      <w:r>
        <w:rPr>
          <w:sz w:val="23"/>
        </w:rPr>
        <w:t>4.1. ESLint: 代码质量守护者</w:t>
      </w:r>
    </w:p>
    <w:p/>
    <w:p>
      <w:pPr>
        <w:pStyle w:val="ListBullet"/>
      </w:pPr>
      <w:r>
        <w:rPr>
          <w:b/>
          <w:sz w:val="21"/>
        </w:rPr>
        <w:t>配置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.eslintrc.js</w:t>
      </w:r>
      <w:r>
        <w:rPr>
          <w:sz w:val="21"/>
        </w:rPr>
        <w:t xml:space="preserve"> 进行配置。</w:t>
      </w:r>
    </w:p>
    <w:p>
      <w:pPr>
        <w:pStyle w:val="ListBullet"/>
      </w:pPr>
      <w:r>
        <w:rPr>
          <w:b/>
          <w:sz w:val="21"/>
        </w:rPr>
        <w:t>基础规则集</w:t>
      </w:r>
      <w:r>
        <w:rPr>
          <w:sz w:val="21"/>
        </w:rPr>
        <w:t>: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eslint:recommended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plugin:react/recommended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plugin:react-hooks/recommended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plugin:@typescript-eslint/recommended</w:t>
      </w:r>
    </w:p>
    <w:p>
      <w:pPr>
        <w:pStyle w:val="ListBullet"/>
      </w:pPr>
      <w:r>
        <w:rPr>
          <w:b/>
          <w:sz w:val="21"/>
        </w:rPr>
        <w:t>核心规则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禁止使用 `any` 类型</w:t>
      </w:r>
      <w:r>
        <w:rPr>
          <w:sz w:val="21"/>
        </w:rPr>
        <w:t xml:space="preserve">: 开启 </w:t>
      </w:r>
      <w:r>
        <w:rPr>
          <w:rFonts w:ascii="Courier New" w:hAnsi="Courier New"/>
          <w:color w:val="800000"/>
          <w:sz w:val="19"/>
        </w:rPr>
        <w:t>@typescript-eslint/no-explicit-any</w:t>
      </w:r>
      <w:r>
        <w:rPr>
          <w:sz w:val="21"/>
        </w:rPr>
        <w:t xml:space="preserve"> 规则（警告级别）。</w:t>
      </w:r>
    </w:p>
    <w:p>
      <w:pPr>
        <w:pStyle w:val="ListBullet2"/>
      </w:pPr>
      <w:r>
        <w:rPr>
          <w:b/>
          <w:sz w:val="21"/>
        </w:rPr>
        <w:t>React Hooks 规则</w:t>
      </w:r>
      <w:r>
        <w:rPr>
          <w:sz w:val="21"/>
        </w:rPr>
        <w:t xml:space="preserve">: 严格遵守 </w:t>
      </w:r>
      <w:r>
        <w:rPr>
          <w:rFonts w:ascii="Courier New" w:hAnsi="Courier New"/>
          <w:color w:val="800000"/>
          <w:sz w:val="19"/>
        </w:rPr>
        <w:t>react-hooks/rules-of-hooks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react-hooks/exhaustive-deps</w:t>
      </w:r>
      <w:r>
        <w:rPr>
          <w:sz w:val="21"/>
        </w:rPr>
        <w:t>。</w:t>
      </w:r>
    </w:p>
    <w:p>
      <w:pPr>
        <w:pStyle w:val="ListBullet2"/>
      </w:pPr>
      <w:r>
        <w:rPr>
          <w:b/>
          <w:sz w:val="21"/>
        </w:rPr>
        <w:t>显式返回类型</w:t>
      </w:r>
      <w:r>
        <w:rPr>
          <w:sz w:val="21"/>
        </w:rPr>
        <w:t>: 函数和方法应有明确的返回类型。</w:t>
      </w:r>
    </w:p>
    <w:p>
      <w:pPr>
        <w:pStyle w:val="ListBullet2"/>
      </w:pPr>
      <w:r>
        <w:rPr>
          <w:b/>
          <w:sz w:val="21"/>
        </w:rPr>
        <w:t>代码复杂度</w:t>
      </w:r>
      <w:r>
        <w:rPr>
          <w:sz w:val="21"/>
        </w:rPr>
        <w:t xml:space="preserve">: 限制函数圈复杂度，推荐 </w:t>
      </w:r>
      <w:r>
        <w:rPr>
          <w:rFonts w:ascii="Courier New" w:hAnsi="Courier New"/>
          <w:color w:val="800000"/>
          <w:sz w:val="19"/>
        </w:rPr>
        <w:t>eslint-plugin-complexity</w:t>
      </w:r>
      <w:r>
        <w:rPr>
          <w:sz w:val="21"/>
        </w:rPr>
        <w:t>。</w:t>
      </w:r>
    </w:p>
    <w:p/>
    <w:p>
      <w:r>
        <w:rPr>
          <w:b/>
          <w:sz w:val="21"/>
        </w:rPr>
        <w:t>示例 `.eslintrc.js` (片段):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module.exports =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// ...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extends: [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'eslint:recommended',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'plugin:react/recommended',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'plugin:react-hooks/recommended',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'plugin:@typescript-eslint/recommended',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'prettier', // 确保 Prettier 规则优先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],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rules: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'@typescript-eslint/explicit-module-boundary-types': 'warn',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'@typescript-eslint/no-explicit-any': 'warn',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'react/react-in-jsx-scope': 'off', // React 17+ 无需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'complexity': ['error', 10], // 圈复杂度不超过10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// ...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};</w:t>
      </w:r>
    </w:p>
    <w:p/>
    <w:p>
      <w:pPr>
        <w:pStyle w:val="Heading3"/>
      </w:pPr>
      <w:r>
        <w:rPr>
          <w:sz w:val="23"/>
        </w:rPr>
        <w:t>4.2. Prettier: 终结风格之战</w:t>
      </w:r>
    </w:p>
    <w:p/>
    <w:p>
      <w:pPr>
        <w:pStyle w:val="ListBullet"/>
      </w:pPr>
      <w:r>
        <w:rPr>
          <w:b/>
          <w:sz w:val="21"/>
        </w:rPr>
        <w:t>配置</w:t>
      </w:r>
      <w:r>
        <w:rPr>
          <w:sz w:val="21"/>
        </w:rPr>
        <w:t xml:space="preserve">: 使用 </w:t>
      </w:r>
      <w:r>
        <w:rPr>
          <w:rFonts w:ascii="Courier New" w:hAnsi="Courier New"/>
          <w:color w:val="800000"/>
          <w:sz w:val="19"/>
        </w:rPr>
        <w:t>.prettierrc.js</w:t>
      </w:r>
      <w:r>
        <w:rPr>
          <w:sz w:val="21"/>
        </w:rPr>
        <w:t>。Prettier 负责代码格式化，ESLint 负责代码质量。</w:t>
      </w:r>
    </w:p>
    <w:p>
      <w:pPr>
        <w:pStyle w:val="ListBullet"/>
      </w:pPr>
      <w:r>
        <w:rPr>
          <w:b/>
          <w:sz w:val="21"/>
        </w:rPr>
        <w:t>核心配置</w:t>
      </w:r>
      <w:r>
        <w:rPr>
          <w:sz w:val="21"/>
        </w:rPr>
        <w:t>: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printWidth</w:t>
      </w:r>
      <w:r>
        <w:rPr>
          <w:sz w:val="21"/>
        </w:rPr>
        <w:t>: 100 (行宽100)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tabWidth</w:t>
      </w:r>
      <w:r>
        <w:rPr>
          <w:sz w:val="21"/>
        </w:rPr>
        <w:t>: 2 (缩进2空格)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semi</w:t>
      </w:r>
      <w:r>
        <w:rPr>
          <w:sz w:val="21"/>
        </w:rPr>
        <w:t>: true (使用分号)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singleQuote</w:t>
      </w:r>
      <w:r>
        <w:rPr>
          <w:sz w:val="21"/>
        </w:rPr>
        <w:t>: true (使用单引号)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trailingComma</w:t>
      </w:r>
      <w:r>
        <w:rPr>
          <w:sz w:val="21"/>
        </w:rPr>
        <w:t>: 'all' (尾随逗号)</w:t>
      </w:r>
    </w:p>
    <w:p/>
    <w:p>
      <w:r>
        <w:rPr>
          <w:b/>
          <w:sz w:val="21"/>
        </w:rPr>
        <w:t>示例 `.prettierrc.js`: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module.exports =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printWidth: 100,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tabWidth: 2,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useTabs: false,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semi: true,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singleQuote: true,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trailingComma: 'all',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bracketSpacing: true,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arrowParens: 'always',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};</w:t>
      </w:r>
    </w:p>
    <w:p/>
    <w:p>
      <w:pPr>
        <w:pStyle w:val="Heading3"/>
      </w:pPr>
      <w:r>
        <w:rPr>
          <w:sz w:val="23"/>
        </w:rPr>
        <w:t>4.3. 自动化集成</w:t>
      </w:r>
    </w:p>
    <w:p/>
    <w:p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husky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lint-staged</w:t>
      </w:r>
      <w:r>
        <w:rPr>
          <w:sz w:val="21"/>
        </w:rPr>
        <w:t xml:space="preserve"> 在 </w:t>
      </w:r>
      <w:r>
        <w:rPr>
          <w:rFonts w:ascii="Courier New" w:hAnsi="Courier New"/>
          <w:color w:val="800000"/>
          <w:sz w:val="19"/>
        </w:rPr>
        <w:t>git commit</w:t>
      </w:r>
      <w:r>
        <w:rPr>
          <w:sz w:val="21"/>
        </w:rPr>
        <w:t xml:space="preserve"> 阶段自动执行Linting和格式化，确保入库的代码都符合规范。</w:t>
      </w:r>
    </w:p>
    <w:p/>
    <w:p>
      <w:r>
        <w:rPr>
          <w:b/>
          <w:sz w:val="21"/>
        </w:rPr>
        <w:t>`package.json` 配置: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"scripts":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"prepare": "husky install"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"lint-staged":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"*.{js,jsx,ts,tsx}": ["eslint --fix", "prettier --write"],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"*.{json,md,css}": ["prettier --write"]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第五章：TypeScript 最佳实践</w:t>
      </w:r>
    </w:p>
    <w:p/>
    <w:p>
      <w:r>
        <w:rPr>
          <w:sz w:val="21"/>
        </w:rPr>
        <w:t>TypeScript 是我们项目的类型安全基石。</w:t>
      </w:r>
    </w:p>
    <w:p/>
    <w:p>
      <w:pPr>
        <w:pStyle w:val="ListBullet"/>
      </w:pPr>
      <w:r>
        <w:rPr>
          <w:b/>
          <w:sz w:val="21"/>
        </w:rPr>
        <w:t>类型优于接口</w:t>
      </w:r>
      <w:r>
        <w:rPr>
          <w:sz w:val="21"/>
        </w:rPr>
        <w:t xml:space="preserve">: 优先使用 </w:t>
      </w:r>
      <w:r>
        <w:rPr>
          <w:rFonts w:ascii="Courier New" w:hAnsi="Courier New"/>
          <w:color w:val="800000"/>
          <w:sz w:val="19"/>
        </w:rPr>
        <w:t>type</w:t>
      </w:r>
      <w:r>
        <w:rPr>
          <w:sz w:val="21"/>
        </w:rPr>
        <w:t xml:space="preserve"> 定义类型，尤其是在需要联合类型或交叉类型时。对于需要“继承”或“实现”的场景，使用 </w:t>
      </w:r>
      <w:r>
        <w:rPr>
          <w:rFonts w:ascii="Courier New" w:hAnsi="Courier New"/>
          <w:color w:val="800000"/>
          <w:sz w:val="19"/>
        </w:rPr>
        <w:t>interface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善用泛型</w:t>
      </w:r>
      <w:r>
        <w:rPr>
          <w:sz w:val="21"/>
        </w:rPr>
        <w:t>: 编写可复用的、类型安全的函数和组件时，积极使用泛型。</w:t>
      </w:r>
    </w:p>
    <w:p>
      <w:pPr>
        <w:pStyle w:val="ListBullet"/>
      </w:pPr>
      <w:r>
        <w:rPr>
          <w:b/>
          <w:sz w:val="21"/>
        </w:rPr>
        <w:t>精准定义类型</w:t>
      </w:r>
      <w:r>
        <w:rPr>
          <w:sz w:val="21"/>
        </w:rPr>
        <w:t xml:space="preserve">: 避免使用宽泛的类型如 </w:t>
      </w:r>
      <w:r>
        <w:rPr>
          <w:rFonts w:ascii="Courier New" w:hAnsi="Courier New"/>
          <w:color w:val="800000"/>
          <w:sz w:val="19"/>
        </w:rPr>
        <w:t>Function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Object</w:t>
      </w:r>
      <w:r>
        <w:rPr>
          <w:sz w:val="21"/>
        </w:rPr>
        <w:t xml:space="preserve">。使用具体的函数签名 </w:t>
      </w:r>
      <w:r>
        <w:rPr>
          <w:rFonts w:ascii="Courier New" w:hAnsi="Courier New"/>
          <w:color w:val="800000"/>
          <w:sz w:val="19"/>
        </w:rPr>
        <w:t>() =&gt; void</w:t>
      </w:r>
      <w:r>
        <w:rPr>
          <w:sz w:val="21"/>
        </w:rPr>
        <w:t xml:space="preserve"> 或对象形状 </w:t>
      </w:r>
      <w:r>
        <w:rPr>
          <w:rFonts w:ascii="Courier New" w:hAnsi="Courier New"/>
          <w:color w:val="800000"/>
          <w:sz w:val="19"/>
        </w:rPr>
        <w:t>{ id: string }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枚举</w:t>
      </w:r>
      <w:r>
        <w:rPr>
          <w:sz w:val="21"/>
        </w:rPr>
        <w:t>: 使用字符串枚举而非数字枚举，以增强可读性和调试便利性。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// 推荐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enum Status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Pending = 'PENDING',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Success = 'SUCCESS',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// 不推荐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enum Status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Pending, // 值为 0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Success, // 值为 1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pStyle w:val="ListBullet"/>
      </w:pPr>
      <w:r>
        <w:rPr>
          <w:b/>
          <w:sz w:val="21"/>
        </w:rPr>
        <w:t>类型守卫</w:t>
      </w:r>
      <w:r>
        <w:rPr>
          <w:sz w:val="21"/>
        </w:rPr>
        <w:t xml:space="preserve">: 在处理联合类型时，使用 </w:t>
      </w:r>
      <w:r>
        <w:rPr>
          <w:rFonts w:ascii="Courier New" w:hAnsi="Courier New"/>
          <w:color w:val="800000"/>
          <w:sz w:val="19"/>
        </w:rPr>
        <w:t>typeof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instanceof</w:t>
      </w:r>
      <w:r>
        <w:rPr>
          <w:sz w:val="21"/>
        </w:rPr>
        <w:t xml:space="preserve"> 或自定义类型守卫函数来收窄类型。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第六章：React 组件开发规范</w:t>
      </w:r>
    </w:p>
    <w:p/>
    <w:p>
      <w:pPr>
        <w:pStyle w:val="Heading3"/>
      </w:pPr>
      <w:r>
        <w:rPr>
          <w:sz w:val="23"/>
        </w:rPr>
        <w:t>6.1. 组件设计原则</w:t>
      </w:r>
    </w:p>
    <w:p/>
    <w:p>
      <w:pPr>
        <w:pStyle w:val="ListBullet"/>
      </w:pPr>
      <w:r>
        <w:rPr>
          <w:b/>
          <w:sz w:val="21"/>
        </w:rPr>
        <w:t>单一职责原则 (SRP)</w:t>
      </w:r>
      <w:r>
        <w:rPr>
          <w:sz w:val="21"/>
        </w:rPr>
        <w:t>: 一个组件只做一件事。如果一个组件逻辑过于复杂，考虑将其拆分为多个更小的、可复用的子组件。</w:t>
      </w:r>
    </w:p>
    <w:p>
      <w:pPr>
        <w:pStyle w:val="ListBullet"/>
      </w:pPr>
      <w:r>
        <w:rPr>
          <w:b/>
          <w:sz w:val="21"/>
        </w:rPr>
        <w:t>状态提升</w:t>
      </w:r>
      <w:r>
        <w:rPr>
          <w:sz w:val="21"/>
        </w:rPr>
        <w:t>: 当多个组件需要共享状态时，将该状态提升到它们最近的共同父组件中。</w:t>
      </w:r>
    </w:p>
    <w:p>
      <w:pPr>
        <w:pStyle w:val="ListBullet"/>
      </w:pPr>
      <w:r>
        <w:rPr>
          <w:b/>
          <w:sz w:val="21"/>
        </w:rPr>
        <w:t>容器/展示组件分离 (Container/Presentational Pattern)</w:t>
      </w:r>
      <w:r>
        <w:rPr>
          <w:sz w:val="21"/>
        </w:rPr>
        <w:t>: 逻辑复杂的页面，可考虑将负责数据获取和业务逻辑的“容器组件”与只负责UI渲染的“展示组件”分离。</w:t>
      </w:r>
    </w:p>
    <w:p/>
    <w:p>
      <w:pPr>
        <w:pStyle w:val="Heading3"/>
      </w:pPr>
      <w:r>
        <w:rPr>
          <w:sz w:val="23"/>
        </w:rPr>
        <w:t>6.2. 编码实践</w:t>
      </w:r>
    </w:p>
    <w:p/>
    <w:p>
      <w:pPr>
        <w:pStyle w:val="ListBullet"/>
      </w:pPr>
      <w:r>
        <w:rPr>
          <w:b/>
          <w:sz w:val="21"/>
        </w:rPr>
        <w:t>函数式组件</w:t>
      </w:r>
      <w:r>
        <w:rPr>
          <w:sz w:val="21"/>
        </w:rPr>
        <w:t>: 所有新组件必须使用函数式组件和 Hooks。禁止使用 Class 组件。</w:t>
      </w:r>
    </w:p>
    <w:p>
      <w:pPr>
        <w:pStyle w:val="ListBullet"/>
      </w:pPr>
      <w:r>
        <w:rPr>
          <w:b/>
          <w:sz w:val="21"/>
        </w:rPr>
        <w:t>Props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使用 TypeScript 定义 Props 类型。</w:t>
      </w:r>
    </w:p>
    <w:p>
      <w:pPr>
        <w:pStyle w:val="ListBullet2"/>
      </w:pPr>
      <w:r>
        <w:rPr>
          <w:sz w:val="21"/>
        </w:rPr>
        <w:t>使用解构赋值获取 props，并提供默认值。</w:t>
      </w:r>
    </w:p>
    <w:p>
      <w:pPr>
        <w:pStyle w:val="ListBullet2"/>
      </w:pPr>
      <w:r>
        <w:rPr>
          <w:sz w:val="21"/>
        </w:rPr>
        <w:t xml:space="preserve">布尔类型的 prop 省略其值即为 </w:t>
      </w:r>
      <w:r>
        <w:rPr>
          <w:rFonts w:ascii="Courier New" w:hAnsi="Courier New"/>
          <w:color w:val="800000"/>
          <w:sz w:val="19"/>
        </w:rPr>
        <w:t>true</w:t>
      </w:r>
      <w:r>
        <w:rPr>
          <w:sz w:val="21"/>
        </w:rPr>
        <w:t xml:space="preserve">，如 </w:t>
      </w:r>
      <w:r>
        <w:rPr>
          <w:rFonts w:ascii="Courier New" w:hAnsi="Courier New"/>
          <w:color w:val="800000"/>
          <w:sz w:val="19"/>
        </w:rPr>
        <w:t>&lt;Modal visible /&gt;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Hooks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自定义 Hooks 应用于封装可复用的逻辑（如API请求、事件监听）。</w:t>
      </w:r>
    </w:p>
    <w:p>
      <w:pPr>
        <w:pStyle w:val="ListBullet2"/>
      </w:pPr>
      <w:r>
        <w:rPr>
          <w:sz w:val="21"/>
        </w:rPr>
        <w:t>严格遵守 Hooks 的使用规则，仅在函数顶层调用。</w:t>
      </w:r>
    </w:p>
    <w:p>
      <w:pPr>
        <w:pStyle w:val="ListBullet"/>
      </w:pPr>
      <w:r>
        <w:rPr>
          <w:b/>
          <w:sz w:val="21"/>
        </w:rPr>
        <w:t>性能优化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React.memo</w:t>
      </w:r>
      <w:r>
        <w:rPr>
          <w:sz w:val="21"/>
        </w:rPr>
        <w:t xml:space="preserve"> 包裹渲染开销大且 props 不频繁变化的组件。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useCallback</w:t>
      </w:r>
      <w:r>
        <w:rPr>
          <w:sz w:val="21"/>
        </w:rPr>
        <w:t xml:space="preserve"> 缓存事件处理函数，避免不必要的子组件重渲染。</w:t>
      </w:r>
    </w:p>
    <w:p>
      <w:pPr>
        <w:pStyle w:val="ListBullet2"/>
      </w:pPr>
      <w:r>
        <w:rPr>
          <w:sz w:val="21"/>
        </w:rPr>
        <w:t xml:space="preserve">使用 </w:t>
      </w:r>
      <w:r>
        <w:rPr>
          <w:rFonts w:ascii="Courier New" w:hAnsi="Courier New"/>
          <w:color w:val="800000"/>
          <w:sz w:val="19"/>
        </w:rPr>
        <w:t>useMemo</w:t>
      </w:r>
      <w:r>
        <w:rPr>
          <w:sz w:val="21"/>
        </w:rPr>
        <w:t xml:space="preserve"> 缓存计算成本高的值。</w:t>
      </w:r>
    </w:p>
    <w:p>
      <w:pPr>
        <w:pStyle w:val="ListBullet2"/>
      </w:pPr>
      <w:r>
        <w:rPr>
          <w:b/>
          <w:sz w:val="21"/>
        </w:rPr>
        <w:t>警惕过早优化</w:t>
      </w:r>
      <w:r>
        <w:rPr>
          <w:sz w:val="21"/>
        </w:rPr>
        <w:t>：只在遇到性能瓶颈时进行优化。</w:t>
      </w:r>
    </w:p>
    <w:p>
      <w:pPr>
        <w:pStyle w:val="ListBullet"/>
      </w:pPr>
      <w:r>
        <w:rPr>
          <w:b/>
          <w:sz w:val="21"/>
        </w:rPr>
        <w:t>组件导出</w:t>
      </w:r>
      <w:r>
        <w:rPr>
          <w:sz w:val="21"/>
        </w:rPr>
        <w:t xml:space="preserve">: 使用具名导出，避免使用 </w:t>
      </w:r>
      <w:r>
        <w:rPr>
          <w:rFonts w:ascii="Courier New" w:hAnsi="Courier New"/>
          <w:color w:val="800000"/>
          <w:sz w:val="19"/>
        </w:rPr>
        <w:t>export default</w:t>
      </w:r>
      <w:r>
        <w:rPr>
          <w:sz w:val="21"/>
        </w:rPr>
        <w:t>，以保持导入时的一致性。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// components/Button/index.tsx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export const Button = ({...}) =&gt; { ... };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// pages/SomePage.tsx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import { Button } from '@/components/Button';</w:t>
      </w:r>
    </w:p>
    <w:p/>
    <w:p>
      <w:pPr>
        <w:pStyle w:val="Heading3"/>
      </w:pPr>
      <w:r>
        <w:rPr>
          <w:sz w:val="23"/>
        </w:rPr>
        <w:t>6.3. 样式方案</w:t>
      </w:r>
    </w:p>
    <w:p/>
    <w:p>
      <w:r>
        <w:rPr>
          <w:sz w:val="21"/>
        </w:rPr>
        <w:t xml:space="preserve">推荐使用 </w:t>
      </w:r>
      <w:r>
        <w:rPr>
          <w:b/>
          <w:sz w:val="21"/>
        </w:rPr>
        <w:t>CSS-in-JS</w:t>
      </w:r>
      <w:r>
        <w:rPr>
          <w:sz w:val="21"/>
        </w:rPr>
        <w:t xml:space="preserve"> 方案（如 </w:t>
      </w:r>
      <w:r>
        <w:rPr>
          <w:b/>
          <w:sz w:val="21"/>
        </w:rPr>
        <w:t>Styled-components</w:t>
      </w:r>
      <w:r>
        <w:rPr>
          <w:sz w:val="21"/>
        </w:rPr>
        <w:t xml:space="preserve"> 或 </w:t>
      </w:r>
      <w:r>
        <w:rPr>
          <w:b/>
          <w:sz w:val="21"/>
        </w:rPr>
        <w:t>Emotion</w:t>
      </w:r>
      <w:r>
        <w:rPr>
          <w:sz w:val="21"/>
        </w:rPr>
        <w:t xml:space="preserve">）或 </w:t>
      </w:r>
      <w:r>
        <w:rPr>
          <w:b/>
          <w:sz w:val="21"/>
        </w:rPr>
        <w:t>CSS Modules</w:t>
      </w:r>
      <w:r>
        <w:rPr>
          <w:sz w:val="21"/>
        </w:rPr>
        <w:t>，以实现组件级别的样式封装，避免全局样式污染。</w:t>
      </w:r>
    </w:p>
    <w:p/>
    <w:p>
      <w:r>
        <w:rPr>
          <w:b/>
          <w:sz w:val="21"/>
        </w:rPr>
        <w:t>示例 (Styled-components):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styled from 'styled-components';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interface IButtonProps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primary?: boolean;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export const StyledButton = styled.button&lt;IButtonProps&gt;`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background: ${(props) =&gt; (props.primary ? 'palevioletred' : 'white')};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color: ${(props) =&gt; (props.primary ? 'white' : 'palevioletred')};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font-size: 1em;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padding: 0.25em 1em;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border: 2px solid palevioletred;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border-radius: 3px;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`;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第七章：状态管理</w:t>
      </w:r>
    </w:p>
    <w:p/>
    <w:p>
      <w:pPr>
        <w:pStyle w:val="ListBullet"/>
      </w:pPr>
      <w:r>
        <w:rPr>
          <w:b/>
          <w:sz w:val="21"/>
        </w:rPr>
        <w:t>局部状态</w:t>
      </w:r>
      <w:r>
        <w:rPr>
          <w:sz w:val="21"/>
        </w:rPr>
        <w:t xml:space="preserve">: 组件内部的简单状态（如表单输入、开关状态）优先使用 </w:t>
      </w:r>
      <w:r>
        <w:rPr>
          <w:rFonts w:ascii="Courier New" w:hAnsi="Courier New"/>
          <w:color w:val="800000"/>
          <w:sz w:val="19"/>
        </w:rPr>
        <w:t>useState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跨组件/全局状态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对于中小型项目或跨组件状态共享场景，推荐使用轻量级状态管理库，如 </w:t>
      </w:r>
      <w:r>
        <w:rPr>
          <w:b/>
          <w:sz w:val="21"/>
        </w:rPr>
        <w:t>Zustand</w:t>
      </w:r>
      <w:r>
        <w:rPr>
          <w:sz w:val="21"/>
        </w:rPr>
        <w:t xml:space="preserve"> 或 </w:t>
      </w:r>
      <w:r>
        <w:rPr>
          <w:b/>
          <w:sz w:val="21"/>
        </w:rPr>
        <w:t>Jotai</w:t>
      </w:r>
      <w:r>
        <w:rPr>
          <w:sz w:val="21"/>
        </w:rPr>
        <w:t>。</w:t>
      </w:r>
    </w:p>
    <w:p>
      <w:pPr>
        <w:pStyle w:val="ListBullet2"/>
      </w:pPr>
      <w:r>
        <w:rPr>
          <w:sz w:val="21"/>
        </w:rPr>
        <w:t xml:space="preserve">对于大型、复杂且状态依赖关系强的项目，可选择 </w:t>
      </w:r>
      <w:r>
        <w:rPr>
          <w:b/>
          <w:sz w:val="21"/>
        </w:rPr>
        <w:t>Redux Toolkit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服务端状态</w:t>
      </w:r>
      <w:r>
        <w:rPr>
          <w:sz w:val="21"/>
        </w:rPr>
        <w:t xml:space="preserve">: 使用 </w:t>
      </w:r>
      <w:r>
        <w:rPr>
          <w:b/>
          <w:sz w:val="21"/>
        </w:rPr>
        <w:t>React Query</w:t>
      </w:r>
      <w:r>
        <w:rPr>
          <w:sz w:val="21"/>
        </w:rPr>
        <w:t xml:space="preserve"> 或 </w:t>
      </w:r>
      <w:r>
        <w:rPr>
          <w:b/>
          <w:sz w:val="21"/>
        </w:rPr>
        <w:t>SWR</w:t>
      </w:r>
      <w:r>
        <w:rPr>
          <w:sz w:val="21"/>
        </w:rPr>
        <w:t xml:space="preserve"> 来管理服务端数据缓存、同步和状态，避免在全局状态管理器中存储API数据。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第八章：代码提交与版本控制</w:t>
      </w:r>
    </w:p>
    <w:p/>
    <w:p>
      <w:pPr>
        <w:pStyle w:val="Heading3"/>
      </w:pPr>
      <w:r>
        <w:rPr>
          <w:sz w:val="23"/>
        </w:rPr>
        <w:t>8.1. Git 分支模型</w:t>
      </w:r>
    </w:p>
    <w:p/>
    <w:p>
      <w:r>
        <w:rPr>
          <w:sz w:val="21"/>
        </w:rPr>
        <w:t xml:space="preserve">采用简化的 </w:t>
      </w:r>
      <w:r>
        <w:rPr>
          <w:b/>
          <w:sz w:val="21"/>
        </w:rPr>
        <w:t>Git Flow</w:t>
      </w:r>
      <w:r>
        <w:rPr>
          <w:sz w:val="21"/>
        </w:rPr>
        <w:t xml:space="preserve"> 或 </w:t>
      </w:r>
      <w:r>
        <w:rPr>
          <w:b/>
          <w:sz w:val="21"/>
        </w:rPr>
        <w:t>GitHub Flow</w:t>
      </w:r>
      <w:r>
        <w:rPr>
          <w:sz w:val="21"/>
        </w:rPr>
        <w:t xml:space="preserve"> 模型。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main</w:t>
      </w:r>
      <w:r>
        <w:rPr>
          <w:sz w:val="21"/>
        </w:rPr>
        <w:t>: 主分支，始终保持可部署状态。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develop</w:t>
      </w:r>
      <w:r>
        <w:rPr>
          <w:sz w:val="21"/>
        </w:rPr>
        <w:t>: 开发分支，集成所有已完成的功能。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feature/xxx</w:t>
      </w:r>
      <w:r>
        <w:rPr>
          <w:sz w:val="21"/>
        </w:rPr>
        <w:t xml:space="preserve">: 功能分支，从 </w:t>
      </w:r>
      <w:r>
        <w:rPr>
          <w:rFonts w:ascii="Courier New" w:hAnsi="Courier New"/>
          <w:color w:val="800000"/>
          <w:sz w:val="19"/>
        </w:rPr>
        <w:t>develop</w:t>
      </w:r>
      <w:r>
        <w:rPr>
          <w:sz w:val="21"/>
        </w:rPr>
        <w:t xml:space="preserve"> 创建，完成后合并回 </w:t>
      </w:r>
      <w:r>
        <w:rPr>
          <w:rFonts w:ascii="Courier New" w:hAnsi="Courier New"/>
          <w:color w:val="800000"/>
          <w:sz w:val="19"/>
        </w:rPr>
        <w:t>develop</w:t>
      </w:r>
      <w:r>
        <w:rPr>
          <w:sz w:val="21"/>
        </w:rPr>
        <w:t>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fix/xxx</w:t>
      </w:r>
      <w:r>
        <w:rPr>
          <w:sz w:val="21"/>
        </w:rPr>
        <w:t>: Bug 修复分支。</w:t>
      </w:r>
    </w:p>
    <w:p/>
    <w:p>
      <w:pPr>
        <w:pStyle w:val="Heading3"/>
      </w:pPr>
      <w:r>
        <w:rPr>
          <w:sz w:val="23"/>
        </w:rPr>
        <w:t>8.2. Commit Message 规范</w:t>
      </w:r>
    </w:p>
    <w:p/>
    <w:p>
      <w:r>
        <w:rPr>
          <w:sz w:val="21"/>
        </w:rPr>
        <w:t xml:space="preserve">所有 </w:t>
      </w:r>
      <w:r>
        <w:rPr>
          <w:rFonts w:ascii="Courier New" w:hAnsi="Courier New"/>
          <w:color w:val="800000"/>
          <w:sz w:val="19"/>
        </w:rPr>
        <w:t>git commit</w:t>
      </w:r>
      <w:r>
        <w:rPr>
          <w:sz w:val="21"/>
        </w:rPr>
        <w:t xml:space="preserve"> 信息必须遵循 </w:t>
      </w:r>
      <w:r>
        <w:rPr>
          <w:b/>
          <w:sz w:val="21"/>
        </w:rPr>
        <w:t>Conventional Commits</w:t>
      </w:r>
      <w:r>
        <w:rPr>
          <w:sz w:val="21"/>
        </w:rPr>
        <w:t xml:space="preserve"> 规范。这有助于自动化生成 </w:t>
      </w:r>
      <w:r>
        <w:rPr>
          <w:rFonts w:ascii="Courier New" w:hAnsi="Courier New"/>
          <w:color w:val="800000"/>
          <w:sz w:val="19"/>
        </w:rPr>
        <w:t>CHANGELOG</w:t>
      </w:r>
      <w:r>
        <w:rPr>
          <w:sz w:val="21"/>
        </w:rPr>
        <w:t xml:space="preserve"> 和版本管理。</w:t>
      </w:r>
    </w:p>
    <w:p/>
    <w:p>
      <w:r>
        <w:rPr>
          <w:b/>
          <w:sz w:val="21"/>
        </w:rPr>
        <w:t>格式: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&lt;type&gt;(&lt;scope&gt;): &lt;subject&gt;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&lt;BLANK LINE&gt;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&lt;body&gt;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&lt;BLANK LINE&gt;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&lt;footer&gt;</w:t>
      </w:r>
    </w:p>
    <w:p/>
    <w:p>
      <w:pPr>
        <w:pStyle w:val="ListBullet"/>
      </w:pPr>
      <w:r>
        <w:rPr>
          <w:b/>
          <w:sz w:val="21"/>
        </w:rPr>
        <w:t>Type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feat</w:t>
      </w:r>
      <w:r>
        <w:rPr>
          <w:sz w:val="21"/>
        </w:rPr>
        <w:t xml:space="preserve"> (新功能), </w:t>
      </w:r>
      <w:r>
        <w:rPr>
          <w:rFonts w:ascii="Courier New" w:hAnsi="Courier New"/>
          <w:color w:val="800000"/>
          <w:sz w:val="19"/>
        </w:rPr>
        <w:t>fix</w:t>
      </w:r>
      <w:r>
        <w:rPr>
          <w:sz w:val="21"/>
        </w:rPr>
        <w:t xml:space="preserve"> (修复bug), </w:t>
      </w:r>
      <w:r>
        <w:rPr>
          <w:rFonts w:ascii="Courier New" w:hAnsi="Courier New"/>
          <w:color w:val="800000"/>
          <w:sz w:val="19"/>
        </w:rPr>
        <w:t>docs</w:t>
      </w:r>
      <w:r>
        <w:rPr>
          <w:sz w:val="21"/>
        </w:rPr>
        <w:t xml:space="preserve"> (文档), </w:t>
      </w:r>
      <w:r>
        <w:rPr>
          <w:rFonts w:ascii="Courier New" w:hAnsi="Courier New"/>
          <w:color w:val="800000"/>
          <w:sz w:val="19"/>
        </w:rPr>
        <w:t>style</w:t>
      </w:r>
      <w:r>
        <w:rPr>
          <w:sz w:val="21"/>
        </w:rPr>
        <w:t xml:space="preserve"> (格式), </w:t>
      </w:r>
      <w:r>
        <w:rPr>
          <w:rFonts w:ascii="Courier New" w:hAnsi="Courier New"/>
          <w:color w:val="800000"/>
          <w:sz w:val="19"/>
        </w:rPr>
        <w:t>refactor</w:t>
      </w:r>
      <w:r>
        <w:rPr>
          <w:sz w:val="21"/>
        </w:rPr>
        <w:t xml:space="preserve"> (重构), </w:t>
      </w:r>
      <w:r>
        <w:rPr>
          <w:rFonts w:ascii="Courier New" w:hAnsi="Courier New"/>
          <w:color w:val="800000"/>
          <w:sz w:val="19"/>
        </w:rPr>
        <w:t>test</w:t>
      </w:r>
      <w:r>
        <w:rPr>
          <w:sz w:val="21"/>
        </w:rPr>
        <w:t xml:space="preserve"> (测试), </w:t>
      </w:r>
      <w:r>
        <w:rPr>
          <w:rFonts w:ascii="Courier New" w:hAnsi="Courier New"/>
          <w:color w:val="800000"/>
          <w:sz w:val="19"/>
        </w:rPr>
        <w:t>chore</w:t>
      </w:r>
      <w:r>
        <w:rPr>
          <w:sz w:val="21"/>
        </w:rPr>
        <w:t xml:space="preserve"> (构建或辅助工具变动)。</w:t>
      </w:r>
    </w:p>
    <w:p>
      <w:pPr>
        <w:pStyle w:val="ListBullet"/>
      </w:pPr>
      <w:r>
        <w:rPr>
          <w:b/>
          <w:sz w:val="21"/>
        </w:rPr>
        <w:t>示例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feat(user): add login form validation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第九章：文档与注释</w:t>
      </w:r>
    </w:p>
    <w:p/>
    <w:p>
      <w:pPr>
        <w:pStyle w:val="ListBullet"/>
      </w:pPr>
      <w:r>
        <w:rPr>
          <w:b/>
          <w:sz w:val="21"/>
        </w:rPr>
        <w:t>组件文档</w:t>
      </w:r>
      <w:r>
        <w:rPr>
          <w:sz w:val="21"/>
        </w:rPr>
        <w:t xml:space="preserve">: 核心通用组件应使用 </w:t>
      </w:r>
      <w:r>
        <w:rPr>
          <w:b/>
          <w:sz w:val="21"/>
        </w:rPr>
        <w:t>Storybook</w:t>
      </w:r>
      <w:r>
        <w:rPr>
          <w:sz w:val="21"/>
        </w:rPr>
        <w:t xml:space="preserve"> 或类似工具编写文档和使用示例。</w:t>
      </w:r>
    </w:p>
    <w:p>
      <w:pPr>
        <w:pStyle w:val="ListBullet"/>
      </w:pPr>
      <w:r>
        <w:rPr>
          <w:b/>
          <w:sz w:val="21"/>
        </w:rPr>
        <w:t>代码注释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优先编写自解释的代码。</w:t>
      </w:r>
    </w:p>
    <w:p>
      <w:pPr>
        <w:pStyle w:val="ListBullet2"/>
      </w:pPr>
      <w:r>
        <w:rPr>
          <w:sz w:val="21"/>
        </w:rPr>
        <w:t>对复杂的业务逻辑、算法或非常规的解决方案，必须添加注释说明其原因和目的。</w:t>
      </w:r>
    </w:p>
    <w:p>
      <w:pPr>
        <w:pStyle w:val="ListBullet2"/>
      </w:pPr>
      <w:r>
        <w:rPr>
          <w:sz w:val="21"/>
        </w:rPr>
        <w:t xml:space="preserve">公共函数、自定义 Hooks 应使用 </w:t>
      </w:r>
      <w:r>
        <w:rPr>
          <w:b/>
          <w:sz w:val="21"/>
        </w:rPr>
        <w:t>JSDoc</w:t>
      </w:r>
      <w:r>
        <w:rPr>
          <w:sz w:val="21"/>
        </w:rPr>
        <w:t xml:space="preserve"> 格式添加注释。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附录：新项目快速启动清单</w:t>
      </w:r>
    </w:p>
    <w:p/>
    <w:p>
      <w:pPr>
        <w:pStyle w:val="ListNumber"/>
      </w:pPr>
      <w:r>
        <w:rPr>
          <w:sz w:val="21"/>
        </w:rPr>
        <w:t>[ ] 初始化项目脚手架（Vite/CRA）。</w:t>
      </w:r>
    </w:p>
    <w:p>
      <w:pPr>
        <w:pStyle w:val="ListNumber"/>
      </w:pPr>
      <w:r>
        <w:rPr>
          <w:sz w:val="21"/>
        </w:rPr>
        <w:t xml:space="preserve">[ ] 配置 </w:t>
      </w:r>
      <w:r>
        <w:rPr>
          <w:rFonts w:ascii="Courier New" w:hAnsi="Courier New"/>
          <w:color w:val="800000"/>
          <w:sz w:val="19"/>
        </w:rPr>
        <w:t>.nvmrc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.editorconfig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[ ] 安装并配置 </w:t>
      </w:r>
      <w:r>
        <w:rPr>
          <w:rFonts w:ascii="Courier New" w:hAnsi="Courier New"/>
          <w:color w:val="800000"/>
          <w:sz w:val="19"/>
        </w:rPr>
        <w:t>ESLint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Prettier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[ ] 安装并配置 </w:t>
      </w:r>
      <w:r>
        <w:rPr>
          <w:rFonts w:ascii="Courier New" w:hAnsi="Courier New"/>
          <w:color w:val="800000"/>
          <w:sz w:val="19"/>
        </w:rPr>
        <w:t>husky</w:t>
      </w:r>
      <w:r>
        <w:rPr>
          <w:sz w:val="21"/>
        </w:rPr>
        <w:t xml:space="preserve"> 和 </w:t>
      </w:r>
      <w:r>
        <w:rPr>
          <w:rFonts w:ascii="Courier New" w:hAnsi="Courier New"/>
          <w:color w:val="800000"/>
          <w:sz w:val="19"/>
        </w:rPr>
        <w:t>lint-staged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[ ] 建立本规范所定义的项目结构目录。</w:t>
      </w:r>
    </w:p>
    <w:p>
      <w:pPr>
        <w:pStyle w:val="ListNumber"/>
      </w:pPr>
      <w:r>
        <w:rPr>
          <w:sz w:val="21"/>
        </w:rPr>
        <w:t xml:space="preserve">[ ] 完善 </w:t>
      </w:r>
      <w:r>
        <w:rPr>
          <w:rFonts w:ascii="Courier New" w:hAnsi="Courier New"/>
          <w:color w:val="800000"/>
          <w:sz w:val="19"/>
        </w:rPr>
        <w:t>tsconfig.json</w:t>
      </w:r>
      <w:r>
        <w:rPr>
          <w:sz w:val="21"/>
        </w:rPr>
        <w:t xml:space="preserve">，配置路径别名（如 </w:t>
      </w:r>
      <w:r>
        <w:rPr>
          <w:rFonts w:ascii="Courier New" w:hAnsi="Courier New"/>
          <w:color w:val="800000"/>
          <w:sz w:val="19"/>
        </w:rPr>
        <w:t>@/*</w:t>
      </w:r>
      <w:r>
        <w:rPr>
          <w:sz w:val="21"/>
        </w:rPr>
        <w:t>）。</w:t>
      </w:r>
    </w:p>
    <w:p>
      <w:pPr>
        <w:pStyle w:val="ListNumber"/>
      </w:pPr>
      <w:r>
        <w:rPr>
          <w:sz w:val="21"/>
        </w:rPr>
        <w:t>[ ] 与团队成员同步，确保所有人已安装并配置好推荐的 VSCode 插件。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