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8"/>
        </w:rPr>
        <w:t>样本编号：40</w:t>
      </w:r>
    </w:p>
    <w:p>
      <w:r>
        <w:rPr>
          <w:b/>
          <w:sz w:val="22"/>
        </w:rPr>
        <w:t>领域：技术</w:t>
      </w:r>
    </w:p>
    <w:p>
      <w:r>
        <w:rPr>
          <w:i/>
          <w:sz w:val="20"/>
        </w:rPr>
        <w:t>【请结合评分表第 40 行的金标准，对以下AI生成内容评分】</w:t>
      </w:r>
    </w:p>
    <w:p>
      <w:r>
        <w:t>──────────────────────────────────────────────────</w:t>
      </w:r>
    </w:p>
    <w:p>
      <w:pPr>
        <w:pStyle w:val="Heading3"/>
      </w:pPr>
      <w:r>
        <w:rPr>
          <w:sz w:val="23"/>
        </w:rPr>
        <w:t>微服务架构下API网关的选型与配置方案</w:t>
      </w:r>
    </w:p>
    <w:p/>
    <w:p>
      <w:pPr>
        <w:pStyle w:val="Heading4"/>
      </w:pPr>
      <w:r>
        <w:rPr>
          <w:sz w:val="22"/>
        </w:rPr>
        <w:t>一、引言</w:t>
      </w:r>
    </w:p>
    <w:p>
      <w:r>
        <w:rPr>
          <w:sz w:val="21"/>
        </w:rPr>
        <w:t>随着企业规模的扩大和技术的发展，越来越多的企业开始采用微服务架构来构建自己的应用系统。微服务架构通过将应用程序分解为一系列小而自治的服务，提高了系统的灵活性和可维护性。然而，这也带来了新的挑战，比如如何有效地管理这些服务之间的通信？如何确保整个系统的安全性和稳定性？本文旨在介绍在微服务架构中选择合适的API网关以及其配置的最佳实践。</w:t>
      </w:r>
    </w:p>
    <w:p/>
    <w:p>
      <w:pPr>
        <w:pStyle w:val="Heading4"/>
      </w:pPr>
      <w:r>
        <w:rPr>
          <w:sz w:val="22"/>
        </w:rPr>
        <w:t>二、为什么需要API网关？</w:t>
      </w:r>
    </w:p>
    <w:p>
      <w:pPr>
        <w:pStyle w:val="ListBullet"/>
      </w:pPr>
      <w:r>
        <w:rPr>
          <w:b/>
          <w:sz w:val="21"/>
        </w:rPr>
        <w:t>统一入口</w:t>
      </w:r>
      <w:r>
        <w:rPr>
          <w:sz w:val="21"/>
        </w:rPr>
        <w:t>：为所有微服务提供一个统一的访问点。</w:t>
      </w:r>
    </w:p>
    <w:p>
      <w:pPr>
        <w:pStyle w:val="ListBullet"/>
      </w:pPr>
      <w:r>
        <w:rPr>
          <w:b/>
          <w:sz w:val="21"/>
        </w:rPr>
        <w:t>安全性增强</w:t>
      </w:r>
      <w:r>
        <w:rPr>
          <w:sz w:val="21"/>
        </w:rPr>
        <w:t>：集中处理认证授权等安全相关事宜。</w:t>
      </w:r>
    </w:p>
    <w:p>
      <w:pPr>
        <w:pStyle w:val="ListBullet"/>
      </w:pPr>
      <w:r>
        <w:rPr>
          <w:b/>
          <w:sz w:val="21"/>
        </w:rPr>
        <w:t>性能优化</w:t>
      </w:r>
      <w:r>
        <w:rPr>
          <w:sz w:val="21"/>
        </w:rPr>
        <w:t>：通过缓存、限流等方式提升整体性能。</w:t>
      </w:r>
    </w:p>
    <w:p>
      <w:pPr>
        <w:pStyle w:val="ListBullet"/>
      </w:pPr>
      <w:r>
        <w:rPr>
          <w:b/>
          <w:sz w:val="21"/>
        </w:rPr>
        <w:t>简化开发</w:t>
      </w:r>
      <w:r>
        <w:rPr>
          <w:sz w:val="21"/>
        </w:rPr>
        <w:t>：减少客户端直接调用后端服务的需求。</w:t>
      </w:r>
    </w:p>
    <w:p/>
    <w:p>
      <w:pPr>
        <w:pStyle w:val="Heading4"/>
      </w:pPr>
      <w:r>
        <w:rPr>
          <w:sz w:val="22"/>
        </w:rPr>
        <w:t>三、谁来负责实施</w:t>
      </w:r>
    </w:p>
    <w:p>
      <w:pPr>
        <w:pStyle w:val="ListBullet"/>
      </w:pPr>
      <w:r>
        <w:rPr>
          <w:b/>
          <w:sz w:val="21"/>
        </w:rPr>
        <w:t>软件开发工程师</w:t>
      </w:r>
      <w:r>
        <w:rPr>
          <w:sz w:val="21"/>
        </w:rPr>
        <w:t>：负责具体的技术实现。</w:t>
      </w:r>
    </w:p>
    <w:p>
      <w:pPr>
        <w:pStyle w:val="ListBullet"/>
      </w:pPr>
      <w:r>
        <w:rPr>
          <w:b/>
          <w:sz w:val="21"/>
        </w:rPr>
        <w:t>系统架构师</w:t>
      </w:r>
      <w:r>
        <w:rPr>
          <w:sz w:val="21"/>
        </w:rPr>
        <w:t>：负责技术选型及架构设计。</w:t>
      </w:r>
    </w:p>
    <w:p>
      <w:pPr>
        <w:pStyle w:val="ListBullet"/>
      </w:pPr>
      <w:r>
        <w:rPr>
          <w:b/>
          <w:sz w:val="21"/>
        </w:rPr>
        <w:t>运维团队</w:t>
      </w:r>
      <w:r>
        <w:rPr>
          <w:sz w:val="21"/>
        </w:rPr>
        <w:t>：负责部署、监控及日常维护。</w:t>
      </w:r>
    </w:p>
    <w:p>
      <w:pPr>
        <w:pStyle w:val="ListBullet"/>
      </w:pPr>
      <w:r>
        <w:rPr>
          <w:b/>
          <w:sz w:val="21"/>
        </w:rPr>
        <w:t>IT管理者</w:t>
      </w:r>
      <w:r>
        <w:rPr>
          <w:sz w:val="21"/>
        </w:rPr>
        <w:t>：负责项目支持与资源调配。</w:t>
      </w:r>
    </w:p>
    <w:p/>
    <w:p>
      <w:pPr>
        <w:pStyle w:val="Heading4"/>
      </w:pPr>
      <w:r>
        <w:rPr>
          <w:sz w:val="22"/>
        </w:rPr>
        <w:t>四、何时进行</w:t>
      </w:r>
    </w:p>
    <w:p>
      <w:r>
        <w:rPr>
          <w:sz w:val="21"/>
        </w:rPr>
        <w:t>建议在决定采用或升级至微服务架构时就开始考虑API网关的引入，特别是在遇到以下情况时：</w:t>
      </w:r>
    </w:p>
    <w:p>
      <w:pPr>
        <w:pStyle w:val="ListBullet"/>
      </w:pPr>
      <w:r>
        <w:rPr>
          <w:sz w:val="21"/>
        </w:rPr>
        <w:t>服务数量快速增长。</w:t>
      </w:r>
    </w:p>
    <w:p>
      <w:pPr>
        <w:pStyle w:val="ListBullet"/>
      </w:pPr>
      <w:r>
        <w:rPr>
          <w:sz w:val="21"/>
        </w:rPr>
        <w:t>系统复杂度显著增加。</w:t>
      </w:r>
    </w:p>
    <w:p>
      <w:pPr>
        <w:pStyle w:val="ListBullet"/>
      </w:pPr>
      <w:r>
        <w:rPr>
          <w:sz w:val="21"/>
        </w:rPr>
        <w:t>对于性能、安全性的要求提高。</w:t>
      </w:r>
    </w:p>
    <w:p/>
    <w:p>
      <w:pPr>
        <w:pStyle w:val="Heading4"/>
      </w:pPr>
      <w:r>
        <w:rPr>
          <w:sz w:val="22"/>
        </w:rPr>
        <w:t>五、适用场景</w:t>
      </w:r>
    </w:p>
    <w:p>
      <w:r>
        <w:rPr>
          <w:sz w:val="21"/>
        </w:rPr>
        <w:t>适用于任何基于微服务架构的企业环境，无论是私有数据中心还是公有云平台。尤其适合那些面临高并发请求且对系统稳定性和安全性有着严格要求的应用场合。</w:t>
      </w:r>
    </w:p>
    <w:p/>
    <w:p>
      <w:pPr>
        <w:pStyle w:val="Heading4"/>
      </w:pPr>
      <w:r>
        <w:rPr>
          <w:sz w:val="22"/>
        </w:rPr>
        <w:t>六、执行步骤</w:t>
      </w:r>
    </w:p>
    <w:p>
      <w:pPr>
        <w:pStyle w:val="ListNumber"/>
      </w:pPr>
      <w:r>
        <w:rPr>
          <w:b/>
          <w:sz w:val="21"/>
        </w:rPr>
        <w:t>需求分析</w:t>
      </w:r>
      <w:r>
        <w:rPr>
          <w:sz w:val="21"/>
        </w:rPr>
        <w:t>：明确业务目标，了解现有技术栈。</w:t>
      </w:r>
    </w:p>
    <w:p>
      <w:pPr>
        <w:pStyle w:val="ListNumber"/>
      </w:pPr>
      <w:r>
        <w:rPr>
          <w:b/>
          <w:sz w:val="21"/>
        </w:rPr>
        <w:t>产品选型</w:t>
      </w:r>
      <w:r>
        <w:rPr>
          <w:sz w:val="21"/>
        </w:rPr>
        <w:t>：根据需求评估市场上主流API网关（如Kong, Nginx, Spring Cloud Gateway）的功能特点。</w:t>
      </w:r>
    </w:p>
    <w:p>
      <w:pPr>
        <w:pStyle w:val="ListNumber"/>
      </w:pPr>
      <w:r>
        <w:rPr>
          <w:b/>
          <w:sz w:val="21"/>
        </w:rPr>
        <w:t>策略制定</w:t>
      </w:r>
      <w:r>
        <w:rPr>
          <w:sz w:val="21"/>
        </w:rPr>
        <w:t>：</w:t>
      </w:r>
    </w:p>
    <w:p>
      <w:pPr>
        <w:pStyle w:val="ListBullet2"/>
      </w:pPr>
      <w:r>
        <w:rPr>
          <w:sz w:val="21"/>
        </w:rPr>
        <w:t>路由规则设置。</w:t>
      </w:r>
    </w:p>
    <w:p>
      <w:pPr>
        <w:pStyle w:val="ListBullet2"/>
      </w:pPr>
      <w:r>
        <w:rPr>
          <w:sz w:val="21"/>
        </w:rPr>
        <w:t>认证授权机制建立。</w:t>
      </w:r>
    </w:p>
    <w:p>
      <w:pPr>
        <w:pStyle w:val="ListBullet2"/>
      </w:pPr>
      <w:r>
        <w:rPr>
          <w:sz w:val="21"/>
        </w:rPr>
        <w:t>限流熔断策略规划。</w:t>
      </w:r>
    </w:p>
    <w:p>
      <w:pPr>
        <w:pStyle w:val="ListNumber"/>
      </w:pPr>
      <w:r>
        <w:rPr>
          <w:b/>
          <w:sz w:val="21"/>
        </w:rPr>
        <w:t>配置与测试</w:t>
      </w:r>
      <w:r>
        <w:rPr>
          <w:sz w:val="21"/>
        </w:rPr>
        <w:t>：完成上述准备工作后，按照既定计划进行详细配置，并进行全面测试以验证效果。</w:t>
      </w:r>
    </w:p>
    <w:p>
      <w:pPr>
        <w:pStyle w:val="ListNumber"/>
      </w:pPr>
      <w:r>
        <w:rPr>
          <w:b/>
          <w:sz w:val="21"/>
        </w:rPr>
        <w:t>上线准备</w:t>
      </w:r>
      <w:r>
        <w:rPr>
          <w:sz w:val="21"/>
        </w:rPr>
        <w:t>：包括但不限于数据迁移、用户培训等。</w:t>
      </w:r>
    </w:p>
    <w:p>
      <w:pPr>
        <w:pStyle w:val="ListNumber"/>
      </w:pPr>
      <w:r>
        <w:rPr>
          <w:b/>
          <w:sz w:val="21"/>
        </w:rPr>
        <w:t>持续运维</w:t>
      </w:r>
      <w:r>
        <w:rPr>
          <w:sz w:val="21"/>
        </w:rPr>
        <w:t>：定期检查系统状态，及时调整策略。</w:t>
      </w:r>
    </w:p>
    <w:p/>
    <w:p>
      <w:pPr>
        <w:pStyle w:val="Heading4"/>
      </w:pPr>
      <w:r>
        <w:rPr>
          <w:sz w:val="22"/>
        </w:rPr>
        <w:t>七、成本估算</w:t>
      </w:r>
    </w:p>
    <w:p>
      <w:r>
        <w:rPr>
          <w:sz w:val="21"/>
        </w:rPr>
        <w:t>预计总投入约20万元人民币，涵盖硬件/云服务购置、软件许可费（视具体情况而定）、开发集成费用以及必要的培训支持。</w:t>
      </w:r>
    </w:p>
    <w:p/>
    <w:p>
      <w:pPr>
        <w:pStyle w:val="Heading4"/>
      </w:pPr>
      <w:r>
        <w:rPr>
          <w:sz w:val="22"/>
        </w:rPr>
        <w:t>八、预期成果</w:t>
      </w:r>
    </w:p>
    <w:p>
      <w:r>
        <w:rPr>
          <w:sz w:val="21"/>
        </w:rPr>
        <w:t>通过本指南的学习，读者能够掌握从API网关的选择到最终配置的全过程，从而帮助企业成功地构建出高效、安全、易扩展的微服务体系。</w:t>
      </w:r>
    </w:p>
    <w:p/>
    <w:p>
      <w:r>
        <w:rPr>
          <w:sz w:val="18"/>
        </w:rPr>
        <w:t>────────────────────────────────────────</w:t>
      </w:r>
    </w:p>
    <w:p/>
    <w:p>
      <w:r>
        <w:rPr>
          <w:sz w:val="21"/>
        </w:rPr>
        <w:t>以上内容提供了关于微服务架构下API网关选型与配置的基础知识框架。希望这份指南能够帮助相关人员更好地理解和实施相关工作。如果有更具体的疑问或者需要进一步的帮助，请随时联系专业顾问获取更多支持。</w:t>
      </w:r>
    </w:p>
    <w:p>
      <w: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