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样本编号：41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41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智能诊疗辅助系统（MedAI）商业计划书摘要</w:t>
      </w:r>
    </w:p>
    <w:p/>
    <w:p>
      <w:pPr>
        <w:pStyle w:val="Heading2"/>
      </w:pPr>
      <w:r>
        <w:rPr>
          <w:sz w:val="25"/>
        </w:rPr>
        <w:t>项目概述</w:t>
      </w:r>
    </w:p>
    <w:p>
      <w:r>
        <w:rPr>
          <w:b/>
          <w:sz w:val="21"/>
        </w:rPr>
        <w:t>项目名称：</w:t>
      </w:r>
      <w:r>
        <w:rPr>
          <w:sz w:val="21"/>
        </w:rPr>
        <w:t xml:space="preserve"> 智能诊疗辅助系统（MedAI）</w:t>
      </w:r>
    </w:p>
    <w:p>
      <w:r>
        <w:rPr>
          <w:b/>
          <w:sz w:val="21"/>
        </w:rPr>
        <w:t>项目定位：</w:t>
      </w:r>
      <w:r>
        <w:rPr>
          <w:sz w:val="21"/>
        </w:rPr>
        <w:t xml:space="preserve"> 基于深度学习与多模态数据融合的下一代医疗AI决策支持平台，旨在提升诊疗效率与准确性，优化医疗资源配置。</w:t>
      </w:r>
    </w:p>
    <w:p>
      <w:r>
        <w:rPr>
          <w:b/>
          <w:sz w:val="21"/>
        </w:rPr>
        <w:t>核心愿景：</w:t>
      </w:r>
      <w:r>
        <w:rPr>
          <w:sz w:val="21"/>
        </w:rPr>
        <w:t xml:space="preserve"> 成为全球医疗机构信赖的“AI第二大脑”，让精准医疗触手可及。</w:t>
      </w:r>
    </w:p>
    <w:p>
      <w:r>
        <w:rPr>
          <w:b/>
          <w:sz w:val="21"/>
        </w:rPr>
        <w:t>融资需求：</w:t>
      </w:r>
      <w:r>
        <w:rPr>
          <w:sz w:val="21"/>
        </w:rPr>
        <w:t xml:space="preserve"> 首轮融资目标 </w:t>
      </w:r>
      <w:r>
        <w:rPr>
          <w:b/>
          <w:sz w:val="21"/>
        </w:rPr>
        <w:t>500万美元</w:t>
      </w:r>
      <w:r>
        <w:rPr>
          <w:sz w:val="21"/>
        </w:rPr>
        <w:t>，用于产品深化研发、临床验证及初期市场推广。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一、 市场分析：机遇与痛点</w:t>
      </w:r>
    </w:p>
    <w:p/>
    <w:p>
      <w:r>
        <w:rPr>
          <w:b/>
          <w:sz w:val="21"/>
        </w:rPr>
        <w:t>1. 市场机遇：</w:t>
      </w:r>
    </w:p>
    <w:p>
      <w:pPr>
        <w:pStyle w:val="ListBullet"/>
      </w:pPr>
      <w:r>
        <w:rPr>
          <w:b/>
          <w:sz w:val="21"/>
        </w:rPr>
        <w:t>全球数字健康市场</w:t>
      </w:r>
      <w:r>
        <w:rPr>
          <w:sz w:val="21"/>
        </w:rPr>
        <w:t xml:space="preserve"> 预计2025年将突破 </w:t>
      </w:r>
      <w:r>
        <w:rPr>
          <w:b/>
          <w:sz w:val="21"/>
        </w:rPr>
        <w:t>6000亿美元</w:t>
      </w:r>
      <w:r>
        <w:rPr>
          <w:sz w:val="21"/>
        </w:rPr>
        <w:t xml:space="preserve">，AI医疗细分市场年复合增长率（CAGR）超过 </w:t>
      </w:r>
      <w:r>
        <w:rPr>
          <w:b/>
          <w:sz w:val="21"/>
        </w:rPr>
        <w:t>40%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驱动因素：</w:t>
      </w:r>
    </w:p>
    <w:p>
      <w:pPr>
        <w:pStyle w:val="ListBullet2"/>
      </w:pPr>
      <w:r>
        <w:rPr>
          <w:b/>
          <w:sz w:val="21"/>
        </w:rPr>
        <w:t>需求侧：</w:t>
      </w:r>
      <w:r>
        <w:rPr>
          <w:sz w:val="21"/>
        </w:rPr>
        <w:t xml:space="preserve"> 全球人口老龄化、慢性病负担加重。中国每年门诊量超 </w:t>
      </w:r>
      <w:r>
        <w:rPr>
          <w:b/>
          <w:sz w:val="21"/>
        </w:rPr>
        <w:t>80亿人次</w:t>
      </w:r>
      <w:r>
        <w:rPr>
          <w:sz w:val="21"/>
        </w:rPr>
        <w:t>，优质医生资源持续紧张。</w:t>
      </w:r>
    </w:p>
    <w:p>
      <w:pPr>
        <w:pStyle w:val="ListBullet2"/>
      </w:pPr>
      <w:r>
        <w:rPr>
          <w:b/>
          <w:sz w:val="21"/>
        </w:rPr>
        <w:t>供给侧：</w:t>
      </w:r>
      <w:r>
        <w:rPr>
          <w:sz w:val="21"/>
        </w:rPr>
        <w:t xml:space="preserve"> 医学知识爆炸式增长，医生学习负担沉重；诊断结果存在主观差异与疲劳误差。</w:t>
      </w:r>
    </w:p>
    <w:p>
      <w:pPr>
        <w:pStyle w:val="ListBullet2"/>
      </w:pPr>
      <w:r>
        <w:rPr>
          <w:b/>
          <w:sz w:val="21"/>
        </w:rPr>
        <w:t>政策侧：</w:t>
      </w:r>
      <w:r>
        <w:rPr>
          <w:sz w:val="21"/>
        </w:rPr>
        <w:t xml:space="preserve"> 中国“十四五”数字经济发展规划、美国FDA的AI/ML软件行动计划、欧盟《人工智能法案》等，均在规范中鼓励创新医疗AI应用。</w:t>
      </w:r>
    </w:p>
    <w:p/>
    <w:p>
      <w:r>
        <w:rPr>
          <w:b/>
          <w:sz w:val="21"/>
        </w:rPr>
        <w:t>2. 目标市场：</w:t>
      </w:r>
    </w:p>
    <w:p>
      <w:pPr>
        <w:pStyle w:val="ListBullet"/>
      </w:pPr>
      <w:r>
        <w:rPr>
          <w:b/>
          <w:sz w:val="21"/>
        </w:rPr>
        <w:t>初期（1-2年）：</w:t>
      </w:r>
      <w:r>
        <w:rPr>
          <w:sz w:val="21"/>
        </w:rPr>
        <w:t xml:space="preserve"> 中国一线城市的三甲医院（约500家），聚焦</w:t>
      </w:r>
      <w:r>
        <w:rPr>
          <w:b/>
          <w:sz w:val="21"/>
        </w:rPr>
        <w:t>肿瘤科、影像科、心内科</w:t>
      </w:r>
      <w:r>
        <w:rPr>
          <w:sz w:val="21"/>
        </w:rPr>
        <w:t>的辅助诊断与治疗方案推荐。</w:t>
      </w:r>
    </w:p>
    <w:p>
      <w:pPr>
        <w:pStyle w:val="ListBullet"/>
      </w:pPr>
      <w:r>
        <w:rPr>
          <w:b/>
          <w:sz w:val="21"/>
        </w:rPr>
        <w:t>中期（3-5年）：</w:t>
      </w:r>
      <w:r>
        <w:rPr>
          <w:sz w:val="21"/>
        </w:rPr>
        <w:t xml:space="preserve"> 拓展至美国、欧洲的医疗机构及区域性医疗中心，并开发慢病管理模块。</w:t>
      </w:r>
    </w:p>
    <w:p>
      <w:pPr>
        <w:pStyle w:val="ListBullet"/>
      </w:pPr>
      <w:r>
        <w:rPr>
          <w:b/>
          <w:sz w:val="21"/>
        </w:rPr>
        <w:t>远期：</w:t>
      </w:r>
      <w:r>
        <w:rPr>
          <w:sz w:val="21"/>
        </w:rPr>
        <w:t xml:space="preserve"> 平台化发展，接入基层医疗机构与体检中心，构建预防-诊断-治疗-康复的全周期健康管理网络。</w:t>
      </w:r>
    </w:p>
    <w:p/>
    <w:p>
      <w:r>
        <w:rPr>
          <w:b/>
          <w:sz w:val="21"/>
        </w:rPr>
        <w:t>3. 竞争格局：</w:t>
      </w:r>
    </w:p>
    <w:p>
      <w:pPr>
        <w:pStyle w:val="ListBullet"/>
      </w:pPr>
      <w:r>
        <w:rPr>
          <w:b/>
          <w:sz w:val="21"/>
        </w:rPr>
        <w:t>我们的优势：</w:t>
      </w:r>
    </w:p>
    <w:p>
      <w:pPr>
        <w:pStyle w:val="ListBullet2"/>
      </w:pPr>
      <w:r>
        <w:rPr>
          <w:b/>
          <w:sz w:val="21"/>
        </w:rPr>
        <w:t>技术差异化：</w:t>
      </w:r>
      <w:r>
        <w:rPr>
          <w:sz w:val="21"/>
        </w:rPr>
        <w:t xml:space="preserve"> 采用独家“多模态数据融合算法”，能同时处理影像（CT/MRI）、病理切片、基因组学、电子病历文本及实时流式生理数据，实现全景式患者画像分析。</w:t>
      </w:r>
    </w:p>
    <w:p>
      <w:pPr>
        <w:pStyle w:val="ListBullet2"/>
      </w:pPr>
      <w:r>
        <w:rPr>
          <w:b/>
          <w:sz w:val="21"/>
        </w:rPr>
        <w:t>临床协同设计：</w:t>
      </w:r>
      <w:r>
        <w:rPr>
          <w:sz w:val="21"/>
        </w:rPr>
        <w:t xml:space="preserve"> 产品由顶尖医院临床专家与AI科学家共同打造，工作流深度嵌入医生实际诊断路径，非“黑箱”报告。</w:t>
      </w:r>
    </w:p>
    <w:p>
      <w:pPr>
        <w:pStyle w:val="ListBullet2"/>
      </w:pPr>
      <w:r>
        <w:rPr>
          <w:b/>
          <w:sz w:val="21"/>
        </w:rPr>
        <w:t>合规先行：</w:t>
      </w:r>
      <w:r>
        <w:rPr>
          <w:sz w:val="21"/>
        </w:rPr>
        <w:t xml:space="preserve"> 已启动中国NMPA三类证、美国FDA SaMD的预认证申请路径，并严格遵循GDPR、HIPAA等数据安全规范。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二、 产品介绍：技术与应用</w:t>
      </w:r>
    </w:p>
    <w:p/>
    <w:p>
      <w:r>
        <w:rPr>
          <w:b/>
          <w:sz w:val="21"/>
        </w:rPr>
        <w:t>1. 核心产品模块：</w:t>
      </w:r>
    </w:p>
    <w:p>
      <w:pPr>
        <w:pStyle w:val="ListBullet"/>
      </w:pPr>
      <w:r>
        <w:rPr>
          <w:b/>
          <w:sz w:val="21"/>
        </w:rPr>
        <w:t>MedAI-Dx（智能诊断助手）：</w:t>
      </w:r>
      <w:r>
        <w:rPr>
          <w:sz w:val="21"/>
        </w:rPr>
        <w:t xml:space="preserve"> 针对肺结节、乳腺癌、糖尿病视网膜病变等，提供检测、分类、良恶性概率分析，敏感性&gt;98%，特异性&gt;95%（基于内部验证集）。</w:t>
      </w:r>
    </w:p>
    <w:p>
      <w:pPr>
        <w:pStyle w:val="ListBullet"/>
      </w:pPr>
      <w:r>
        <w:rPr>
          <w:b/>
          <w:sz w:val="21"/>
        </w:rPr>
        <w:t>MedAI-Rx（治疗方案推荐引擎）：</w:t>
      </w:r>
      <w:r>
        <w:rPr>
          <w:sz w:val="21"/>
        </w:rPr>
        <w:t xml:space="preserve"> 结合最新临床指南与海量真实世界疗效数据，为肿瘤患者生成个性化用药与治疗路径建议。</w:t>
      </w:r>
    </w:p>
    <w:p>
      <w:pPr>
        <w:pStyle w:val="ListBullet"/>
      </w:pPr>
      <w:r>
        <w:rPr>
          <w:b/>
          <w:sz w:val="21"/>
        </w:rPr>
        <w:t>MedAI-Report（结构化报告生成器）：</w:t>
      </w:r>
      <w:r>
        <w:rPr>
          <w:sz w:val="21"/>
        </w:rPr>
        <w:t xml:space="preserve"> 自动生成初步影像/病理描述报告，节省医生高达 </w:t>
      </w:r>
      <w:r>
        <w:rPr>
          <w:b/>
          <w:sz w:val="21"/>
        </w:rPr>
        <w:t>50%</w:t>
      </w:r>
      <w:r>
        <w:rPr>
          <w:sz w:val="21"/>
        </w:rPr>
        <w:t xml:space="preserve"> 的文书时间。</w:t>
      </w:r>
    </w:p>
    <w:p/>
    <w:p>
      <w:r>
        <w:rPr>
          <w:b/>
          <w:sz w:val="21"/>
        </w:rPr>
        <w:t>2. 技术壁垒：</w:t>
      </w:r>
    </w:p>
    <w:p>
      <w:pPr>
        <w:pStyle w:val="ListBullet"/>
      </w:pPr>
      <w:r>
        <w:rPr>
          <w:b/>
          <w:sz w:val="21"/>
        </w:rPr>
        <w:t>算法优势：</w:t>
      </w:r>
      <w:r>
        <w:rPr>
          <w:sz w:val="21"/>
        </w:rPr>
        <w:t xml:space="preserve"> 自研的“联邦学习”框架，允许医院在数据不出域的前提下联合建模，解决了医疗数据孤岛与隐私安全的根本矛盾。</w:t>
      </w:r>
    </w:p>
    <w:p>
      <w:pPr>
        <w:pStyle w:val="ListBullet"/>
      </w:pPr>
      <w:r>
        <w:rPr>
          <w:b/>
          <w:sz w:val="21"/>
        </w:rPr>
        <w:t>数据资产：</w:t>
      </w:r>
      <w:r>
        <w:rPr>
          <w:sz w:val="21"/>
        </w:rPr>
        <w:t xml:space="preserve"> 已与3家合作医院签订协议，获得超过 </w:t>
      </w:r>
      <w:r>
        <w:rPr>
          <w:b/>
          <w:sz w:val="21"/>
        </w:rPr>
        <w:t>10万例</w:t>
      </w:r>
      <w:r>
        <w:rPr>
          <w:sz w:val="21"/>
        </w:rPr>
        <w:t xml:space="preserve"> 高质量、脱敏、标注的多模态训练数据授权。</w:t>
      </w:r>
    </w:p>
    <w:p/>
    <w:p>
      <w:r>
        <w:rPr>
          <w:b/>
          <w:sz w:val="21"/>
        </w:rPr>
        <w:t>3. 应用案例（试点医院反馈）：</w:t>
      </w:r>
    </w:p>
    <w:p>
      <w:pPr>
        <w:pStyle w:val="ListBullet"/>
      </w:pPr>
      <w:r>
        <w:rPr>
          <w:b/>
          <w:sz w:val="21"/>
        </w:rPr>
        <w:t>北京XX医院肿瘤科：</w:t>
      </w:r>
      <w:r>
        <w:rPr>
          <w:sz w:val="21"/>
        </w:rPr>
        <w:t xml:space="preserve"> 使用MedAI-Rx后，晚期肺癌患者的一线治疗方案与NCCN指南的符合率从 </w:t>
      </w:r>
      <w:r>
        <w:rPr>
          <w:b/>
          <w:sz w:val="21"/>
        </w:rPr>
        <w:t>82%</w:t>
      </w:r>
      <w:r>
        <w:rPr>
          <w:sz w:val="21"/>
        </w:rPr>
        <w:t xml:space="preserve"> 提升至 </w:t>
      </w:r>
      <w:r>
        <w:rPr>
          <w:b/>
          <w:sz w:val="21"/>
        </w:rPr>
        <w:t>96%</w:t>
      </w:r>
      <w:r>
        <w:rPr>
          <w:sz w:val="21"/>
        </w:rPr>
        <w:t xml:space="preserve">，并成功发现了 </w:t>
      </w:r>
      <w:r>
        <w:rPr>
          <w:b/>
          <w:sz w:val="21"/>
        </w:rPr>
        <w:t>15%</w:t>
      </w:r>
      <w:r>
        <w:rPr>
          <w:sz w:val="21"/>
        </w:rPr>
        <w:t xml:space="preserve"> 患者存在罕见的可靶向基因突变。</w:t>
      </w:r>
    </w:p>
    <w:p>
      <w:pPr>
        <w:pStyle w:val="ListBullet"/>
      </w:pPr>
      <w:r>
        <w:rPr>
          <w:b/>
          <w:sz w:val="21"/>
        </w:rPr>
        <w:t>上海XX医院影像科：</w:t>
      </w:r>
      <w:r>
        <w:rPr>
          <w:sz w:val="21"/>
        </w:rPr>
        <w:t xml:space="preserve"> MedAI-Dx将肺结节筛查的阅片时间平均缩短 </w:t>
      </w:r>
      <w:r>
        <w:rPr>
          <w:b/>
          <w:sz w:val="21"/>
        </w:rPr>
        <w:t>30%</w:t>
      </w:r>
      <w:r>
        <w:rPr>
          <w:sz w:val="21"/>
        </w:rPr>
        <w:t xml:space="preserve">，早期肺癌检出率提升 </w:t>
      </w:r>
      <w:r>
        <w:rPr>
          <w:b/>
          <w:sz w:val="21"/>
        </w:rPr>
        <w:t>8%</w:t>
      </w:r>
      <w:r>
        <w:rPr>
          <w:sz w:val="21"/>
        </w:rPr>
        <w:t>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三、 财务预测与资金使用计划</w:t>
      </w:r>
    </w:p>
    <w:p/>
    <w:p>
      <w:r>
        <w:rPr>
          <w:b/>
          <w:sz w:val="21"/>
        </w:rPr>
        <w:t>1. 财务预测（未来三年）：</w:t>
      </w:r>
    </w:p>
    <w:p>
      <w:r>
        <w:rPr>
          <w:sz w:val="21"/>
        </w:rPr>
        <w:t>| 财务指标 | 第一年 | 第二年 | 第三年 |</w:t>
      </w:r>
    </w:p>
    <w:p>
      <w:r>
        <w:rPr>
          <w:sz w:val="21"/>
        </w:rPr>
        <w:t>| :--- | :---: | :---: | :---: |</w:t>
      </w:r>
    </w:p>
    <w:p>
      <w:r>
        <w:rPr>
          <w:sz w:val="21"/>
        </w:rPr>
        <w:t xml:space="preserve">| </w:t>
      </w:r>
      <w:r>
        <w:rPr>
          <w:b/>
          <w:sz w:val="21"/>
        </w:rPr>
        <w:t>营业收入（万美元）</w:t>
      </w:r>
      <w:r>
        <w:rPr>
          <w:sz w:val="21"/>
        </w:rPr>
        <w:t xml:space="preserve"> | 50 | 400 | 1500 |</w:t>
      </w:r>
    </w:p>
    <w:p>
      <w:r>
        <w:rPr>
          <w:sz w:val="21"/>
        </w:rPr>
        <w:t xml:space="preserve">| </w:t>
      </w:r>
      <w:r>
        <w:rPr>
          <w:b/>
          <w:sz w:val="21"/>
        </w:rPr>
        <w:t>毛利率</w:t>
      </w:r>
      <w:r>
        <w:rPr>
          <w:sz w:val="21"/>
        </w:rPr>
        <w:t xml:space="preserve"> | 70% | 80% | 85% |</w:t>
      </w:r>
    </w:p>
    <w:p>
      <w:r>
        <w:rPr>
          <w:sz w:val="21"/>
        </w:rPr>
        <w:t xml:space="preserve">| </w:t>
      </w:r>
      <w:r>
        <w:rPr>
          <w:b/>
          <w:sz w:val="21"/>
        </w:rPr>
        <w:t>净利润率</w:t>
      </w:r>
      <w:r>
        <w:rPr>
          <w:sz w:val="21"/>
        </w:rPr>
        <w:t xml:space="preserve"> | -180% | -20% | 15% |</w:t>
      </w:r>
    </w:p>
    <w:p>
      <w:r>
        <w:rPr>
          <w:sz w:val="21"/>
        </w:rPr>
        <w:t xml:space="preserve">| </w:t>
      </w:r>
      <w:r>
        <w:rPr>
          <w:b/>
          <w:sz w:val="21"/>
        </w:rPr>
        <w:t>合作医院数量</w:t>
      </w:r>
      <w:r>
        <w:rPr>
          <w:sz w:val="21"/>
        </w:rPr>
        <w:t xml:space="preserve"> | 20 | 100 | 300 |</w:t>
      </w:r>
    </w:p>
    <w:p/>
    <w:p>
      <w:r>
        <w:rPr>
          <w:i/>
          <w:sz w:val="21"/>
        </w:rPr>
        <w:t>收入模型：SaaS年费订阅（根据医院等级与模块定价） + 按次分析服务费。</w:t>
      </w:r>
    </w:p>
    <w:p/>
    <w:p>
      <w:r>
        <w:rPr>
          <w:b/>
          <w:sz w:val="21"/>
        </w:rPr>
        <w:t>2. 本轮融资资金使用计划（500万美元）：</w:t>
      </w:r>
    </w:p>
    <w:p>
      <w:pPr>
        <w:pStyle w:val="ListBullet"/>
      </w:pPr>
      <w:r>
        <w:rPr>
          <w:b/>
          <w:sz w:val="21"/>
        </w:rPr>
        <w:t>研发与认证（60%）：</w:t>
      </w:r>
      <w:r>
        <w:rPr>
          <w:sz w:val="21"/>
        </w:rPr>
        <w:t xml:space="preserve"> 300万美元。用于算法团队扩张、算力采购、关键临床试验（用于注册认证）。</w:t>
      </w:r>
    </w:p>
    <w:p>
      <w:pPr>
        <w:pStyle w:val="ListBullet"/>
      </w:pPr>
      <w:r>
        <w:rPr>
          <w:b/>
          <w:sz w:val="21"/>
        </w:rPr>
        <w:t>市场与销售（25%）：</w:t>
      </w:r>
      <w:r>
        <w:rPr>
          <w:sz w:val="21"/>
        </w:rPr>
        <w:t xml:space="preserve"> 125万美元。组建专业医疗销售团队，参加国际学术会议，打造标杆案例。</w:t>
      </w:r>
    </w:p>
    <w:p>
      <w:pPr>
        <w:pStyle w:val="ListBullet"/>
      </w:pPr>
      <w:r>
        <w:rPr>
          <w:b/>
          <w:sz w:val="21"/>
        </w:rPr>
        <w:t>运营与人才（10%）：</w:t>
      </w:r>
      <w:r>
        <w:rPr>
          <w:sz w:val="21"/>
        </w:rPr>
        <w:t xml:space="preserve"> 50万美元。引进核心管理人才，保障日常运营。</w:t>
      </w:r>
    </w:p>
    <w:p>
      <w:pPr>
        <w:pStyle w:val="ListBullet"/>
      </w:pPr>
      <w:r>
        <w:rPr>
          <w:b/>
          <w:sz w:val="21"/>
        </w:rPr>
        <w:t>储备金（5%）：</w:t>
      </w:r>
      <w:r>
        <w:rPr>
          <w:sz w:val="21"/>
        </w:rPr>
        <w:t xml:space="preserve"> 25万美元。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四、 核心团队</w:t>
      </w:r>
    </w:p>
    <w:p/>
    <w:p>
      <w:pPr>
        <w:pStyle w:val="ListBullet"/>
      </w:pPr>
      <w:r>
        <w:rPr>
          <w:b/>
          <w:sz w:val="21"/>
        </w:rPr>
        <w:t>张伟博士，CEO/联合创始人：</w:t>
      </w:r>
      <w:r>
        <w:rPr>
          <w:sz w:val="21"/>
        </w:rPr>
        <w:t xml:space="preserve"> 前谷歌健康AI项目负责人，斯坦福大学生物医学信息学博士，拥有15年AI算法与医疗产品商业化经验。</w:t>
      </w:r>
    </w:p>
    <w:p>
      <w:pPr>
        <w:pStyle w:val="ListBullet"/>
      </w:pPr>
      <w:r>
        <w:rPr>
          <w:b/>
          <w:sz w:val="21"/>
        </w:rPr>
        <w:t>李芳教授，CMO/联合创始人：</w:t>
      </w:r>
      <w:r>
        <w:rPr>
          <w:sz w:val="21"/>
        </w:rPr>
        <w:t xml:space="preserve"> 北京协和医院前主任医师，中华医学会XX分会常委，深度理解临床需求与医疗体系。</w:t>
      </w:r>
    </w:p>
    <w:p>
      <w:pPr>
        <w:pStyle w:val="ListBullet"/>
      </w:pPr>
      <w:r>
        <w:rPr>
          <w:b/>
          <w:sz w:val="21"/>
        </w:rPr>
        <w:t>王亮，CTO：</w:t>
      </w:r>
      <w:r>
        <w:rPr>
          <w:sz w:val="21"/>
        </w:rPr>
        <w:t xml:space="preserve"> 卡内基梅隆大学机器学习博士，原腾讯优图实验室高级研究员，在CVPR/NeurIPS等顶会发表论文30余篇。</w:t>
      </w:r>
    </w:p>
    <w:p>
      <w:pPr>
        <w:pStyle w:val="ListBullet"/>
      </w:pPr>
      <w:r>
        <w:rPr>
          <w:b/>
          <w:sz w:val="21"/>
        </w:rPr>
        <w:t>顾问委员会：</w:t>
      </w:r>
      <w:r>
        <w:rPr>
          <w:sz w:val="21"/>
        </w:rPr>
        <w:t xml:space="preserve"> 包括美国FDA前评审专家、欧洲顶尖医疗AI法律顾问、国内顶级医院管理专家。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五、 我们的承诺</w:t>
      </w:r>
    </w:p>
    <w:p/>
    <w:p>
      <w:r>
        <w:rPr>
          <w:sz w:val="21"/>
        </w:rPr>
        <w:t>MedAI团队坚信，技术应当服务于人性的关怀。我们不仅是在开发一套先进的软件系统，更是在参与构建一个</w:t>
      </w:r>
      <w:r>
        <w:rPr>
          <w:b/>
          <w:sz w:val="21"/>
        </w:rPr>
        <w:t>更高效、更公平、更精准</w:t>
      </w:r>
      <w:r>
        <w:rPr>
          <w:sz w:val="21"/>
        </w:rPr>
        <w:t>的未来医疗生态。我们拥有解决关键痛点的技术、清晰可行的商业模式、以及一个兼具远见与执行力的团队。</w:t>
      </w:r>
    </w:p>
    <w:p/>
    <w:p>
      <w:r>
        <w:rPr>
          <w:b/>
          <w:sz w:val="21"/>
        </w:rPr>
        <w:t>我们期待与有远见的您携手，共同定义医疗AI的新时代。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>
      <w:r>
        <w:rPr>
          <w:b/>
          <w:sz w:val="21"/>
        </w:rPr>
        <w:t>联系方式：</w:t>
      </w:r>
    </w:p>
    <w:p>
      <w:r>
        <w:rPr>
          <w:sz w:val="21"/>
        </w:rPr>
        <w:t>[您的姓名/职位]</w:t>
      </w:r>
    </w:p>
    <w:p>
      <w:r>
        <w:rPr>
          <w:sz w:val="21"/>
        </w:rPr>
        <w:t>[公司名称]</w:t>
      </w:r>
    </w:p>
    <w:p>
      <w:r>
        <w:rPr>
          <w:sz w:val="21"/>
        </w:rPr>
        <w:t>电话：[您的电话号码]</w:t>
      </w:r>
    </w:p>
    <w:p>
      <w:r>
        <w:rPr>
          <w:sz w:val="21"/>
        </w:rPr>
        <w:t>邮箱：[您的邮箱地址]</w:t>
      </w:r>
    </w:p>
    <w:p>
      <w:r>
        <w:rPr>
          <w:sz w:val="21"/>
        </w:rPr>
        <w:t>网站：[您的公司网站]</w:t>
      </w:r>
    </w:p>
    <w:p>
      <w:r>
        <w:rPr>
          <w:i/>
          <w:sz w:val="21"/>
        </w:rPr>
        <w:t>本摘要保密，仅供意向投资者审阅。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>
      <w:r>
        <w:rPr>
          <w:b/>
          <w:sz w:val="21"/>
        </w:rPr>
        <w:t>附录：关键图表索引</w:t>
      </w:r>
    </w:p>
    <w:p>
      <w:pPr>
        <w:pStyle w:val="ListBullet"/>
      </w:pPr>
      <w:r>
        <w:rPr>
          <w:sz w:val="21"/>
        </w:rPr>
        <w:t>图1：全球AI医疗市场规模及预测（2021-2028）</w:t>
      </w:r>
    </w:p>
    <w:p>
      <w:pPr>
        <w:pStyle w:val="ListBullet"/>
      </w:pPr>
      <w:r>
        <w:rPr>
          <w:sz w:val="21"/>
        </w:rPr>
        <w:t>图2：MedAI多模态数据融合技术架构图</w:t>
      </w:r>
    </w:p>
    <w:p>
      <w:pPr>
        <w:pStyle w:val="ListBullet"/>
      </w:pPr>
      <w:r>
        <w:rPr>
          <w:sz w:val="21"/>
        </w:rPr>
        <w:t>图3：产品研发与市场拓展路线图</w:t>
      </w:r>
    </w:p>
    <w:p>
      <w:pPr>
        <w:pStyle w:val="ListBullet"/>
      </w:pPr>
      <w:r>
        <w:rPr>
          <w:sz w:val="21"/>
        </w:rPr>
        <w:t>图4：三年收入构成预测（SaaS vs. 服务费）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